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81640D" w:rsidRDefault="00046DAD" w:rsidP="00046DAD">
      <w:bookmarkStart w:id="0" w:name="_GoBack"/>
      <w:bookmarkEnd w:id="0"/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Pr="0081640D" w:rsidRDefault="00046DAD" w:rsidP="00046DAD">
      <w:r w:rsidRPr="0081640D">
        <w:t>Razdoblje:            201</w:t>
      </w:r>
      <w:r w:rsidR="001E7314">
        <w:t>9</w:t>
      </w:r>
      <w:r w:rsidRPr="0081640D">
        <w:t>-12                                OIB                  98618221938</w:t>
      </w:r>
    </w:p>
    <w:p w:rsidR="00046DAD" w:rsidRPr="0081640D" w:rsidRDefault="00046DAD" w:rsidP="00046DAD"/>
    <w:p w:rsidR="00046DAD" w:rsidRPr="0081640D" w:rsidRDefault="00046DAD" w:rsidP="00046DAD">
      <w:pPr>
        <w:ind w:left="1985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31. prosinca 201</w:t>
      </w:r>
      <w:r w:rsidR="001E7314">
        <w:rPr>
          <w:b/>
        </w:rPr>
        <w:t>9</w:t>
      </w:r>
      <w:r w:rsidRPr="0081640D">
        <w:rPr>
          <w:b/>
        </w:rPr>
        <w:t>. godine</w:t>
      </w:r>
    </w:p>
    <w:p w:rsidR="00DF04AC" w:rsidRPr="0081640D" w:rsidRDefault="00DF04AC"/>
    <w:p w:rsidR="00CA7EE9" w:rsidRPr="0081640D" w:rsidRDefault="00CA7EE9"/>
    <w:p w:rsidR="00CA7EE9" w:rsidRDefault="00CA7EE9" w:rsidP="007A3F34">
      <w:pPr>
        <w:jc w:val="center"/>
        <w:rPr>
          <w:b/>
        </w:rPr>
      </w:pPr>
      <w:r w:rsidRPr="0081640D">
        <w:rPr>
          <w:b/>
        </w:rPr>
        <w:t>BILJEŠKE UZ BILANCU</w:t>
      </w:r>
    </w:p>
    <w:p w:rsidR="003D1D0C" w:rsidRPr="0081640D" w:rsidRDefault="003D1D0C" w:rsidP="007A3F34">
      <w:pPr>
        <w:jc w:val="center"/>
        <w:rPr>
          <w:b/>
        </w:rPr>
      </w:pPr>
    </w:p>
    <w:p w:rsidR="003D1D0C" w:rsidRDefault="00A05936" w:rsidP="003D1D0C">
      <w:pPr>
        <w:jc w:val="both"/>
      </w:pPr>
      <w:r>
        <w:rPr>
          <w:i/>
        </w:rPr>
        <w:t>1.</w:t>
      </w:r>
    </w:p>
    <w:p w:rsidR="00484EE5" w:rsidRDefault="00484EE5" w:rsidP="00484EE5">
      <w:pPr>
        <w:pStyle w:val="Odlomakpopisa"/>
        <w:numPr>
          <w:ilvl w:val="0"/>
          <w:numId w:val="3"/>
        </w:numPr>
        <w:jc w:val="both"/>
      </w:pPr>
      <w:r>
        <w:t>Popis ugovornih odnosa</w:t>
      </w:r>
    </w:p>
    <w:p w:rsidR="003D1D0C" w:rsidRDefault="003D1D0C" w:rsidP="00484EE5">
      <w:pPr>
        <w:ind w:left="585"/>
        <w:jc w:val="both"/>
      </w:pPr>
      <w:r>
        <w:t xml:space="preserve"> U vezi energetske obnove imamo izdane bjanko zadužnice</w:t>
      </w:r>
      <w:r w:rsidR="00FE7ABA">
        <w:t xml:space="preserve"> na 2.000.000 kn      </w:t>
      </w:r>
    </w:p>
    <w:p w:rsidR="003D1D0C" w:rsidRDefault="00FE7ABA" w:rsidP="003D1D0C">
      <w:pPr>
        <w:jc w:val="both"/>
      </w:pPr>
      <w:r>
        <w:t xml:space="preserve">         Ministarstvu regionalnog razvoja i fondova Europske unije, a kao jamstvo za  </w:t>
      </w:r>
    </w:p>
    <w:p w:rsidR="003D1D0C" w:rsidRDefault="00FE7ABA" w:rsidP="003D1D0C">
      <w:pPr>
        <w:jc w:val="both"/>
      </w:pPr>
      <w:r>
        <w:t xml:space="preserve">         uredno izvršenje ugovornih obveza. Zadužnice su izdane 1.12.2017</w:t>
      </w:r>
      <w:r w:rsidR="00484EE5">
        <w:t>.</w:t>
      </w:r>
    </w:p>
    <w:p w:rsidR="00484EE5" w:rsidRDefault="00484EE5" w:rsidP="003D1D0C">
      <w:pPr>
        <w:jc w:val="both"/>
      </w:pPr>
      <w:r>
        <w:t xml:space="preserve">         </w:t>
      </w:r>
    </w:p>
    <w:p w:rsidR="00FE7ABA" w:rsidRDefault="00484EE5" w:rsidP="00484EE5">
      <w:pPr>
        <w:pStyle w:val="Odlomakpopisa"/>
        <w:numPr>
          <w:ilvl w:val="0"/>
          <w:numId w:val="3"/>
        </w:numPr>
        <w:jc w:val="both"/>
      </w:pPr>
      <w:r>
        <w:t>Popis sudskih sporova u tijeku</w:t>
      </w:r>
    </w:p>
    <w:p w:rsidR="00484EE5" w:rsidRDefault="00484EE5" w:rsidP="00484EE5">
      <w:pPr>
        <w:pStyle w:val="Odlomakpopisa"/>
        <w:ind w:left="945"/>
        <w:jc w:val="both"/>
      </w:pPr>
      <w:r>
        <w:t xml:space="preserve">Nemamo sudske sporove, ali se vodi upravni postupak s </w:t>
      </w:r>
      <w:proofErr w:type="spellStart"/>
      <w:r>
        <w:t>Velcl</w:t>
      </w:r>
      <w:proofErr w:type="spellEnd"/>
      <w:r>
        <w:t xml:space="preserve"> Zvonkom iz Kutine, u vezi rješenja o eksproprijaciji  iz 1972. godine dijela zemljišta škole.</w:t>
      </w:r>
    </w:p>
    <w:p w:rsidR="00484EE5" w:rsidRDefault="00484EE5" w:rsidP="00484EE5">
      <w:pPr>
        <w:pStyle w:val="Odlomakpopisa"/>
        <w:ind w:left="945"/>
        <w:jc w:val="both"/>
      </w:pPr>
      <w:r>
        <w:t>Postoji mogućnost da škola ostane bez dijela zemljišta.</w:t>
      </w:r>
    </w:p>
    <w:p w:rsidR="00FE7ABA" w:rsidRDefault="00FE7ABA" w:rsidP="003D1D0C">
      <w:pPr>
        <w:jc w:val="both"/>
      </w:pPr>
    </w:p>
    <w:p w:rsidR="00CA7EE9" w:rsidRDefault="00A05936" w:rsidP="003D1D0C">
      <w:pPr>
        <w:jc w:val="both"/>
      </w:pPr>
      <w:r>
        <w:t>2.</w:t>
      </w:r>
      <w:r w:rsidR="00CA7EE9" w:rsidRPr="0081640D">
        <w:t>AOP 002 Nefinancijska imovina</w:t>
      </w:r>
    </w:p>
    <w:p w:rsidR="00E263E6" w:rsidRPr="0081640D" w:rsidRDefault="00E263E6" w:rsidP="003D1D0C">
      <w:pPr>
        <w:jc w:val="both"/>
      </w:pPr>
    </w:p>
    <w:p w:rsidR="000108B7" w:rsidRDefault="00351CB2" w:rsidP="000108B7">
      <w:pPr>
        <w:pStyle w:val="Odlomakpopisa"/>
        <w:rPr>
          <w:i/>
        </w:rPr>
      </w:pPr>
      <w:r w:rsidRPr="00351CB2">
        <w:rPr>
          <w:i/>
        </w:rPr>
        <w:t>Zgrade znanstvenih i obrazovnih institucija</w:t>
      </w:r>
    </w:p>
    <w:p w:rsidR="00351CB2" w:rsidRDefault="00351CB2" w:rsidP="000108B7">
      <w:pPr>
        <w:pStyle w:val="Odlomakpopisa"/>
      </w:pPr>
      <w:r>
        <w:t xml:space="preserve">Povećana je vrijednost za energetsku obnovu zgrade i vrijednost projektne dokumentacije za energetsku obnovu u iznosu </w:t>
      </w:r>
      <w:r w:rsidRPr="00351CB2">
        <w:t>7</w:t>
      </w:r>
      <w:r>
        <w:t>.</w:t>
      </w:r>
      <w:r w:rsidRPr="00351CB2">
        <w:t>350</w:t>
      </w:r>
      <w:r>
        <w:t>.</w:t>
      </w:r>
      <w:r w:rsidRPr="00351CB2">
        <w:t>360,27</w:t>
      </w:r>
      <w:r>
        <w:t xml:space="preserve"> kn.</w:t>
      </w:r>
    </w:p>
    <w:p w:rsidR="00351CB2" w:rsidRPr="00351CB2" w:rsidRDefault="00351CB2" w:rsidP="000108B7">
      <w:pPr>
        <w:pStyle w:val="Odlomakpopisa"/>
      </w:pPr>
    </w:p>
    <w:p w:rsidR="00E763B6" w:rsidRPr="00351CB2" w:rsidRDefault="00E763B6" w:rsidP="00CA7EE9">
      <w:pPr>
        <w:pStyle w:val="Odlomakpopisa"/>
      </w:pPr>
      <w:r w:rsidRPr="00812A40">
        <w:rPr>
          <w:i/>
        </w:rPr>
        <w:t>Računalna oprema</w:t>
      </w:r>
    </w:p>
    <w:p w:rsidR="000C49BC" w:rsidRDefault="00351CB2" w:rsidP="00CA7EE9">
      <w:pPr>
        <w:pStyle w:val="Odlomakpopisa"/>
      </w:pPr>
      <w:r>
        <w:t xml:space="preserve">U sklopu </w:t>
      </w:r>
      <w:proofErr w:type="spellStart"/>
      <w:r>
        <w:t>Kurikularne</w:t>
      </w:r>
      <w:proofErr w:type="spellEnd"/>
      <w:r>
        <w:t xml:space="preserve"> reforme  i projekta Školuj se i uči, nabavljena su računala u vrijednosti 19.729,60 kn.</w:t>
      </w:r>
    </w:p>
    <w:p w:rsidR="00811CAA" w:rsidRDefault="00811CAA" w:rsidP="00CA7EE9">
      <w:pPr>
        <w:pStyle w:val="Odlomakpopisa"/>
      </w:pPr>
      <w:r>
        <w:t>Na prijedlog korisnika</w:t>
      </w:r>
      <w:r w:rsidR="008618D3">
        <w:t xml:space="preserve"> i </w:t>
      </w:r>
      <w:r>
        <w:t xml:space="preserve"> inventurne komisije, ravnatelj je donio odluku o rashodovanju informatičke opreme nabavne i otpisane  vrijednosti </w:t>
      </w:r>
      <w:r w:rsidR="00351CB2">
        <w:t>10.469,70</w:t>
      </w:r>
      <w:r>
        <w:t xml:space="preserve"> kn. </w:t>
      </w:r>
    </w:p>
    <w:p w:rsidR="00E763B6" w:rsidRDefault="00E763B6" w:rsidP="00CA7EE9">
      <w:pPr>
        <w:pStyle w:val="Odlomakpopisa"/>
      </w:pPr>
    </w:p>
    <w:p w:rsidR="00E763B6" w:rsidRPr="00812A40" w:rsidRDefault="00E763B6" w:rsidP="00CA7EE9">
      <w:pPr>
        <w:pStyle w:val="Odlomakpopisa"/>
        <w:rPr>
          <w:i/>
        </w:rPr>
      </w:pPr>
      <w:r w:rsidRPr="00812A40">
        <w:rPr>
          <w:i/>
        </w:rPr>
        <w:t>Uredski namještaj</w:t>
      </w:r>
    </w:p>
    <w:p w:rsidR="00812A40" w:rsidRDefault="00811CAA" w:rsidP="00CA7EE9">
      <w:pPr>
        <w:pStyle w:val="Odlomakpopisa"/>
      </w:pPr>
      <w:r>
        <w:t>Na prijedlog korisnika</w:t>
      </w:r>
      <w:r w:rsidR="008618D3">
        <w:t xml:space="preserve"> i</w:t>
      </w:r>
      <w:r>
        <w:t xml:space="preserve"> inventurne komisije, ravnatelj je donio odluku o rashodovanju namještaja </w:t>
      </w:r>
      <w:r w:rsidR="00B47B34">
        <w:t>nabavne</w:t>
      </w:r>
      <w:r w:rsidR="008618D3">
        <w:t xml:space="preserve"> i otpisane vrijednost</w:t>
      </w:r>
      <w:r w:rsidR="00B47B34">
        <w:t xml:space="preserve"> </w:t>
      </w:r>
      <w:r w:rsidR="008618D3">
        <w:t>1.365,06</w:t>
      </w:r>
      <w:r w:rsidR="00B47B34">
        <w:t xml:space="preserve"> kn. </w:t>
      </w:r>
    </w:p>
    <w:p w:rsidR="00F83D5E" w:rsidRDefault="00F83D5E" w:rsidP="00CA7EE9">
      <w:pPr>
        <w:pStyle w:val="Odlomakpopisa"/>
      </w:pPr>
    </w:p>
    <w:p w:rsidR="00812A40" w:rsidRDefault="00812A40" w:rsidP="00CA7EE9">
      <w:pPr>
        <w:pStyle w:val="Odlomakpopisa"/>
        <w:rPr>
          <w:i/>
        </w:rPr>
      </w:pPr>
      <w:r w:rsidRPr="00E12470">
        <w:rPr>
          <w:i/>
        </w:rPr>
        <w:t>Ostala uredska oprema</w:t>
      </w:r>
    </w:p>
    <w:p w:rsidR="00E263E6" w:rsidRDefault="008618D3" w:rsidP="00811CAA">
      <w:pPr>
        <w:pStyle w:val="Odlomakpopisa"/>
      </w:pPr>
      <w:r>
        <w:t xml:space="preserve">U sklopu projekta Školuj se i uči prenesena nam je ostala uredska oprema u vrijednosti  16.093,75 kn. U sklopu </w:t>
      </w:r>
      <w:proofErr w:type="spellStart"/>
      <w:r>
        <w:t>kurikularne</w:t>
      </w:r>
      <w:proofErr w:type="spellEnd"/>
      <w:r>
        <w:t xml:space="preserve"> reforme nabavljena je ostala uredska oprema u vrijednosti </w:t>
      </w:r>
      <w:r w:rsidRPr="008618D3">
        <w:t>35</w:t>
      </w:r>
      <w:r>
        <w:t>.</w:t>
      </w:r>
      <w:r w:rsidRPr="008618D3">
        <w:t>435,62</w:t>
      </w:r>
      <w:r>
        <w:t xml:space="preserve"> kn.  Nabavljena je visokokvalitetna kamera za potrebe filmske grupe škole.</w:t>
      </w:r>
      <w:r w:rsidR="00371912">
        <w:t xml:space="preserve"> </w:t>
      </w:r>
      <w:r>
        <w:t xml:space="preserve">Filmska grupa  škole dobila je Nagradu grada Kutine u iznosu 10.000 kn. Od Županije su, kao nagrada za ostvarene rezultate na natjecanjima, ostvareni bonovi u vrijednosti 10.000 kn. Preostali iznos od </w:t>
      </w:r>
      <w:r w:rsidRPr="008618D3">
        <w:t>22</w:t>
      </w:r>
      <w:r>
        <w:t>.</w:t>
      </w:r>
      <w:r w:rsidRPr="008618D3">
        <w:t>014,5</w:t>
      </w:r>
      <w:r>
        <w:t>0 kn</w:t>
      </w:r>
      <w:r w:rsidR="00371912">
        <w:t xml:space="preserve"> osigurali smo iz vlastitih sredstava. </w:t>
      </w:r>
    </w:p>
    <w:p w:rsidR="00811CAA" w:rsidRDefault="00371912" w:rsidP="00811CAA">
      <w:pPr>
        <w:pStyle w:val="Odlomakpopisa"/>
      </w:pPr>
      <w:r>
        <w:lastRenderedPageBreak/>
        <w:t xml:space="preserve"> Županija do 31.12.2019. godine nije  prebacila sredstva te smo za taj dio u manjku prihoda.</w:t>
      </w:r>
      <w:r w:rsidR="00E263E6">
        <w:t xml:space="preserve"> </w:t>
      </w:r>
      <w:r w:rsidR="00811CAA">
        <w:t>Na prijedlog korisnika</w:t>
      </w:r>
      <w:r>
        <w:t xml:space="preserve"> i </w:t>
      </w:r>
      <w:r w:rsidR="00811CAA">
        <w:t xml:space="preserve"> inventurne komisije, ravnatelj je donio odluku o rashodovanju ostale uredske opreme</w:t>
      </w:r>
      <w:r w:rsidR="00B47B34">
        <w:t xml:space="preserve"> nabavne i otpisane vrijednosti</w:t>
      </w:r>
      <w:r w:rsidR="00811CAA">
        <w:t xml:space="preserve"> </w:t>
      </w:r>
      <w:r>
        <w:t>3.570,46</w:t>
      </w:r>
      <w:r w:rsidR="00811CAA">
        <w:t xml:space="preserve"> kn.</w:t>
      </w:r>
    </w:p>
    <w:p w:rsidR="00B47B34" w:rsidRDefault="00B47B34" w:rsidP="00811CAA">
      <w:pPr>
        <w:pStyle w:val="Odlomakpopisa"/>
      </w:pPr>
    </w:p>
    <w:p w:rsidR="00B47B34" w:rsidRPr="00B47B34" w:rsidRDefault="00B47B34" w:rsidP="00811CAA">
      <w:pPr>
        <w:pStyle w:val="Odlomakpopisa"/>
        <w:rPr>
          <w:i/>
        </w:rPr>
      </w:pPr>
      <w:r w:rsidRPr="00B47B34">
        <w:rPr>
          <w:i/>
        </w:rPr>
        <w:t>Radio i TV prijemnici</w:t>
      </w:r>
    </w:p>
    <w:p w:rsidR="00B47B34" w:rsidRDefault="00B47B34" w:rsidP="00B47B34">
      <w:pPr>
        <w:pStyle w:val="Odlomakpopisa"/>
      </w:pPr>
      <w:r>
        <w:t xml:space="preserve">Na prijedlog korisnika, inventurne komisije, ravnatelj je donio odluku o rashodovanju radio i TV prijemnika  nabavne i otpisane vrijednosti </w:t>
      </w:r>
      <w:r w:rsidR="00371912">
        <w:t>20.203,22</w:t>
      </w:r>
      <w:r>
        <w:t xml:space="preserve"> kn.</w:t>
      </w:r>
    </w:p>
    <w:p w:rsidR="00B47B34" w:rsidRDefault="00B47B34" w:rsidP="00B47B34">
      <w:pPr>
        <w:pStyle w:val="Odlomakpopisa"/>
      </w:pPr>
    </w:p>
    <w:p w:rsidR="00B47B34" w:rsidRDefault="00B47B34" w:rsidP="00B47B34">
      <w:pPr>
        <w:pStyle w:val="Odlomakpopisa"/>
        <w:rPr>
          <w:i/>
        </w:rPr>
      </w:pPr>
      <w:r w:rsidRPr="00B47B34">
        <w:rPr>
          <w:i/>
        </w:rPr>
        <w:t>Ostala komunikacijska oprema</w:t>
      </w:r>
    </w:p>
    <w:p w:rsidR="00B47B34" w:rsidRDefault="00B47B34" w:rsidP="00B47B34">
      <w:pPr>
        <w:pStyle w:val="Odlomakpopisa"/>
      </w:pPr>
      <w:r>
        <w:t xml:space="preserve">Iz vlastitih sredstava </w:t>
      </w:r>
      <w:r w:rsidR="007F5175">
        <w:t xml:space="preserve">izvršili smo dogradnju video  nadzora  kamerom vrijednosti </w:t>
      </w:r>
      <w:r w:rsidR="005A76D1">
        <w:t>2.862,50</w:t>
      </w:r>
      <w:r w:rsidR="007F5175">
        <w:t xml:space="preserve"> kn.</w:t>
      </w:r>
    </w:p>
    <w:p w:rsidR="007F5175" w:rsidRDefault="007F5175" w:rsidP="00B47B34">
      <w:pPr>
        <w:pStyle w:val="Odlomakpopisa"/>
      </w:pPr>
    </w:p>
    <w:p w:rsidR="007F5175" w:rsidRDefault="007F5175" w:rsidP="00B47B34">
      <w:pPr>
        <w:pStyle w:val="Odlomakpopisa"/>
        <w:rPr>
          <w:i/>
        </w:rPr>
      </w:pPr>
      <w:r w:rsidRPr="007F5175">
        <w:rPr>
          <w:i/>
        </w:rPr>
        <w:t xml:space="preserve">Oprema za </w:t>
      </w:r>
      <w:r w:rsidR="005A76D1">
        <w:rPr>
          <w:i/>
        </w:rPr>
        <w:t>održavanje prostorija</w:t>
      </w:r>
    </w:p>
    <w:p w:rsidR="007F5175" w:rsidRDefault="007F5175" w:rsidP="007F5175">
      <w:pPr>
        <w:pStyle w:val="Odlomakpopisa"/>
      </w:pPr>
      <w:r>
        <w:t xml:space="preserve">Na prijedlog korisnika i inventurne komisije, ravnatelj je donio odluku o rashodovanju opreme za </w:t>
      </w:r>
      <w:r w:rsidR="005A76D1">
        <w:t>održavanje prostorija</w:t>
      </w:r>
      <w:r>
        <w:t xml:space="preserve">  nabavne i otpisane vrijednosti </w:t>
      </w:r>
      <w:r w:rsidR="005A76D1">
        <w:t>101,20</w:t>
      </w:r>
      <w:r>
        <w:t xml:space="preserve"> kn.</w:t>
      </w:r>
    </w:p>
    <w:p w:rsidR="007F5175" w:rsidRDefault="007F5175" w:rsidP="007F5175">
      <w:pPr>
        <w:pStyle w:val="Odlomakpopisa"/>
      </w:pPr>
    </w:p>
    <w:p w:rsidR="007F5175" w:rsidRPr="007F5175" w:rsidRDefault="005A76D1" w:rsidP="007F5175">
      <w:pPr>
        <w:pStyle w:val="Odlomakpopisa"/>
        <w:rPr>
          <w:i/>
        </w:rPr>
      </w:pPr>
      <w:r w:rsidRPr="00E263E6">
        <w:rPr>
          <w:i/>
        </w:rPr>
        <w:t>Precizni i optički instrumenti</w:t>
      </w:r>
    </w:p>
    <w:p w:rsidR="00405456" w:rsidRDefault="00405456" w:rsidP="007F5175">
      <w:pPr>
        <w:pStyle w:val="Odlomakpopisa"/>
      </w:pPr>
      <w:r>
        <w:t xml:space="preserve"> U sklopu </w:t>
      </w:r>
      <w:proofErr w:type="spellStart"/>
      <w:r>
        <w:t>Kurikularne</w:t>
      </w:r>
      <w:proofErr w:type="spellEnd"/>
      <w:r>
        <w:t xml:space="preserve"> reforme nabavljen je mikroskop  u vrijednosti 2.806,00 kn.</w:t>
      </w:r>
    </w:p>
    <w:p w:rsidR="00405456" w:rsidRDefault="00405456" w:rsidP="007F5175">
      <w:pPr>
        <w:pStyle w:val="Odlomakpopisa"/>
      </w:pPr>
    </w:p>
    <w:p w:rsidR="00610FFE" w:rsidRDefault="00610FFE" w:rsidP="007F5175">
      <w:pPr>
        <w:pStyle w:val="Odlomakpopisa"/>
      </w:pPr>
      <w:r>
        <w:t>Oprema</w:t>
      </w:r>
    </w:p>
    <w:p w:rsidR="00610FFE" w:rsidRDefault="00610FFE" w:rsidP="007F5175">
      <w:pPr>
        <w:pStyle w:val="Odlomakpopisa"/>
      </w:pPr>
      <w:r>
        <w:t xml:space="preserve">Iz vlastitih sredstava nabavljena je oprema u vrijednosti </w:t>
      </w:r>
      <w:r w:rsidR="000060FD">
        <w:t>11.249</w:t>
      </w:r>
      <w:r>
        <w:t>,00 kn.</w:t>
      </w:r>
    </w:p>
    <w:p w:rsidR="000060FD" w:rsidRDefault="008C3500" w:rsidP="007F5175">
      <w:pPr>
        <w:pStyle w:val="Odlomakpopisa"/>
      </w:pPr>
      <w:r>
        <w:t xml:space="preserve">U imovinu je uvedena perilica posuđa koja je nabavljena u 2018. godini, ali greškom nije bila uvedena u imovinu. </w:t>
      </w:r>
    </w:p>
    <w:p w:rsidR="00610FFE" w:rsidRDefault="00610FFE" w:rsidP="00610FFE">
      <w:pPr>
        <w:pStyle w:val="Odlomakpopisa"/>
      </w:pPr>
      <w:r>
        <w:t>Na prijedlog korisnika i inventurne komisije, ravnatelj je donio odluku o rashodovanju opreme nabavne i otpisane vrijednosti 8,32 kn.</w:t>
      </w:r>
    </w:p>
    <w:p w:rsidR="00610FFE" w:rsidRDefault="00610FFE" w:rsidP="007F5175">
      <w:pPr>
        <w:pStyle w:val="Odlomakpopisa"/>
      </w:pPr>
    </w:p>
    <w:p w:rsidR="007F5175" w:rsidRDefault="00405456" w:rsidP="007F5175">
      <w:pPr>
        <w:pStyle w:val="Odlomakpopisa"/>
      </w:pPr>
      <w:r w:rsidRPr="00C365C9">
        <w:rPr>
          <w:i/>
        </w:rPr>
        <w:t xml:space="preserve"> </w:t>
      </w:r>
      <w:r w:rsidR="00C365C9" w:rsidRPr="00C365C9">
        <w:rPr>
          <w:i/>
        </w:rPr>
        <w:t>Knjige u knjižnicama</w:t>
      </w:r>
    </w:p>
    <w:p w:rsidR="00C365C9" w:rsidRDefault="00C365C9" w:rsidP="007F5175">
      <w:pPr>
        <w:pStyle w:val="Odlomakpopisa"/>
      </w:pPr>
      <w:r>
        <w:t xml:space="preserve">U školskoj knjižnici nije provedena inventura jer je u tijeku kompletna </w:t>
      </w:r>
      <w:proofErr w:type="spellStart"/>
      <w:r>
        <w:t>reinventarizacija</w:t>
      </w:r>
      <w:proofErr w:type="spellEnd"/>
      <w:r>
        <w:t xml:space="preserve">  građe školske knjižnice.  Nakon toga trebalo bi izvršiti usklađivanje financijskog stanja knjižnice sa knjigom inventara i stanjem knjiga.</w:t>
      </w:r>
      <w:r w:rsidR="00610FFE">
        <w:t xml:space="preserve"> Iz vlastitih sredstava nabavljene su knjige u vrijednosti 5.199,99 kn, a od sredstava MZO u vrijednosti 4.000,00 kn.</w:t>
      </w:r>
    </w:p>
    <w:p w:rsidR="00610FFE" w:rsidRPr="00C365C9" w:rsidRDefault="00610FFE" w:rsidP="007F5175">
      <w:pPr>
        <w:pStyle w:val="Odlomakpopisa"/>
      </w:pPr>
      <w:r>
        <w:t>MZO je nabavilo udžbenike za učenike u vrijednosti 214.809,64 kn.</w:t>
      </w:r>
    </w:p>
    <w:p w:rsidR="00C365C9" w:rsidRDefault="00C365C9" w:rsidP="007F5175">
      <w:pPr>
        <w:pStyle w:val="Odlomakpopisa"/>
        <w:rPr>
          <w:i/>
        </w:rPr>
      </w:pPr>
    </w:p>
    <w:p w:rsidR="007F5175" w:rsidRPr="00C365C9" w:rsidRDefault="007F5175" w:rsidP="007F5175">
      <w:pPr>
        <w:pStyle w:val="Odlomakpopisa"/>
        <w:rPr>
          <w:i/>
        </w:rPr>
      </w:pPr>
      <w:r w:rsidRPr="00C365C9">
        <w:rPr>
          <w:i/>
        </w:rPr>
        <w:t>Sitni inventar</w:t>
      </w:r>
    </w:p>
    <w:p w:rsidR="00463629" w:rsidRDefault="00463629" w:rsidP="007F5175">
      <w:pPr>
        <w:pStyle w:val="Odlomakpopisa"/>
      </w:pPr>
      <w:r>
        <w:t xml:space="preserve">U sklopu </w:t>
      </w:r>
      <w:proofErr w:type="spellStart"/>
      <w:r>
        <w:t>Kurikularne</w:t>
      </w:r>
      <w:proofErr w:type="spellEnd"/>
      <w:r>
        <w:t xml:space="preserve"> reforme i iz vlastitih sredstava nabavljen je sitni inventar u vrijednosti 19.325, 77 kn.</w:t>
      </w:r>
    </w:p>
    <w:p w:rsidR="007F5175" w:rsidRDefault="007F5175" w:rsidP="007F5175">
      <w:pPr>
        <w:pStyle w:val="Odlomakpopisa"/>
      </w:pPr>
      <w:r>
        <w:t xml:space="preserve">Na prijedlog korisnika i inventurne komisije, ravnatelj  je donio odluku o rashodovanju sitnog inventara  nabavne i otpisane vrijednosti </w:t>
      </w:r>
      <w:r w:rsidR="00463629">
        <w:t>13.614,56</w:t>
      </w:r>
      <w:r>
        <w:t xml:space="preserve"> kn.</w:t>
      </w:r>
    </w:p>
    <w:p w:rsidR="007F5175" w:rsidRDefault="007F5175" w:rsidP="007F5175">
      <w:pPr>
        <w:pStyle w:val="Odlomakpopisa"/>
      </w:pPr>
    </w:p>
    <w:p w:rsidR="000B12AC" w:rsidRDefault="000B12AC" w:rsidP="000B12AC">
      <w:pPr>
        <w:pStyle w:val="Odlomakpopisa"/>
        <w:ind w:left="360"/>
      </w:pPr>
    </w:p>
    <w:p w:rsidR="008D6DD1" w:rsidRDefault="00892C44" w:rsidP="000B12AC">
      <w:pPr>
        <w:pStyle w:val="Odlomakpopisa"/>
        <w:ind w:left="708"/>
      </w:pPr>
      <w:r>
        <w:t>.</w:t>
      </w:r>
    </w:p>
    <w:p w:rsidR="000D63E2" w:rsidRPr="00083EBE" w:rsidRDefault="005077A5" w:rsidP="00A05936">
      <w:r>
        <w:t>3</w:t>
      </w:r>
      <w:r w:rsidR="00A05936">
        <w:t>.</w:t>
      </w:r>
      <w:r w:rsidR="000D63E2" w:rsidRPr="00083EBE">
        <w:t xml:space="preserve">AOP </w:t>
      </w:r>
      <w:r w:rsidR="00C54CDF" w:rsidRPr="00083EBE">
        <w:t>063</w:t>
      </w:r>
      <w:r w:rsidR="000D63E2" w:rsidRPr="00083EBE">
        <w:t xml:space="preserve"> </w:t>
      </w:r>
      <w:r w:rsidR="00C54CDF" w:rsidRPr="00083EBE">
        <w:t>Financijska imovina</w:t>
      </w:r>
    </w:p>
    <w:p w:rsidR="00EE7C68" w:rsidRPr="0081640D" w:rsidRDefault="005077A5" w:rsidP="00EE7C68">
      <w:pPr>
        <w:pStyle w:val="Odlomakpopisa"/>
      </w:pPr>
      <w:r>
        <w:t>Od 1.1.2019. Škola je prešla u sustav gradske riznice. Zatvoren nam je žiro račun, a sve poslovanje se obavlja preko jedinstvenog računa gradske riznice.</w:t>
      </w:r>
    </w:p>
    <w:p w:rsidR="000A6D27" w:rsidRDefault="00EE7C68" w:rsidP="00EE7C68">
      <w:pPr>
        <w:pStyle w:val="Odlomakpopisa"/>
      </w:pPr>
      <w:r w:rsidRPr="0081640D">
        <w:t>Financijska imovina sastoji se</w:t>
      </w:r>
      <w:r w:rsidR="005077A5">
        <w:t xml:space="preserve"> od</w:t>
      </w:r>
      <w:r w:rsidRPr="0081640D">
        <w:t xml:space="preserve"> potraživanja </w:t>
      </w:r>
      <w:r w:rsidR="005077A5">
        <w:t xml:space="preserve"> koja su navedena u tablici.</w:t>
      </w:r>
    </w:p>
    <w:p w:rsidR="00E263E6" w:rsidRDefault="00E263E6" w:rsidP="00EE7C68">
      <w:pPr>
        <w:pStyle w:val="Odlomakpopisa"/>
      </w:pPr>
    </w:p>
    <w:p w:rsidR="00E263E6" w:rsidRDefault="00E263E6" w:rsidP="00EE7C68">
      <w:pPr>
        <w:pStyle w:val="Odlomakpopisa"/>
      </w:pPr>
    </w:p>
    <w:p w:rsidR="00E263E6" w:rsidRDefault="00E263E6" w:rsidP="00EE7C68">
      <w:pPr>
        <w:pStyle w:val="Odlomakpopisa"/>
      </w:pPr>
    </w:p>
    <w:tbl>
      <w:tblPr>
        <w:tblW w:w="18517" w:type="dxa"/>
        <w:tblInd w:w="93" w:type="dxa"/>
        <w:tblLook w:val="04A0" w:firstRow="1" w:lastRow="0" w:firstColumn="1" w:lastColumn="0" w:noHBand="0" w:noVBand="1"/>
      </w:tblPr>
      <w:tblGrid>
        <w:gridCol w:w="9623"/>
        <w:gridCol w:w="3734"/>
        <w:gridCol w:w="2720"/>
        <w:gridCol w:w="1220"/>
        <w:gridCol w:w="1220"/>
      </w:tblGrid>
      <w:tr w:rsidR="00892C44" w:rsidRPr="00892C44" w:rsidTr="00B21C7A">
        <w:trPr>
          <w:trHeight w:val="360"/>
        </w:trPr>
        <w:tc>
          <w:tcPr>
            <w:tcW w:w="1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E263E6" w:rsidP="00E263E6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                     </w:t>
            </w:r>
            <w:r w:rsidR="00892C44" w:rsidRPr="00892C44">
              <w:rPr>
                <w:rFonts w:cs="Arial"/>
                <w:b/>
                <w:bCs/>
                <w:sz w:val="28"/>
                <w:szCs w:val="28"/>
              </w:rPr>
              <w:t>Potraživanja na dan 31.12.201</w:t>
            </w:r>
            <w:r w:rsidR="0094702E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892C44" w:rsidRPr="00892C44" w:rsidTr="00B21C7A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B21C7A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97" w:type="dxa"/>
              <w:tblLook w:val="04A0" w:firstRow="1" w:lastRow="0" w:firstColumn="1" w:lastColumn="0" w:noHBand="0" w:noVBand="1"/>
            </w:tblPr>
            <w:tblGrid>
              <w:gridCol w:w="940"/>
              <w:gridCol w:w="3100"/>
              <w:gridCol w:w="2900"/>
              <w:gridCol w:w="1217"/>
              <w:gridCol w:w="1240"/>
            </w:tblGrid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94702E">
                    <w:rPr>
                      <w:rFonts w:cs="Arial"/>
                      <w:sz w:val="20"/>
                      <w:szCs w:val="20"/>
                    </w:rPr>
                    <w:t>kto</w:t>
                  </w:r>
                  <w:proofErr w:type="spellEnd"/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 xml:space="preserve">Naziv </w:t>
                  </w:r>
                  <w:proofErr w:type="spellStart"/>
                  <w:r w:rsidRPr="0094702E">
                    <w:rPr>
                      <w:rFonts w:cs="Arial"/>
                      <w:sz w:val="20"/>
                      <w:szCs w:val="20"/>
                    </w:rPr>
                    <w:t>kta</w:t>
                  </w:r>
                  <w:proofErr w:type="spellEnd"/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 xml:space="preserve"> iznos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76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123190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Ostala potraživanja od zaposlenih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Dio troškova službenog mobitela preko limita za račun Tele 2 za prosinac.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14,30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12911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za naknade koje se refundiraju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bolovanje preko HZZO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color w:val="000000"/>
                      <w:sz w:val="20"/>
                      <w:szCs w:val="20"/>
                    </w:rPr>
                    <w:t>12.774,97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129120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za predujmove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Predujam za priključak solarne elektrane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6.340,09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129120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za predujmove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 xml:space="preserve">Neisporučena </w:t>
                  </w:r>
                  <w:proofErr w:type="spellStart"/>
                  <w:r w:rsidRPr="0094702E">
                    <w:rPr>
                      <w:rFonts w:cs="Arial"/>
                      <w:sz w:val="20"/>
                      <w:szCs w:val="20"/>
                    </w:rPr>
                    <w:t>labaratorijska</w:t>
                  </w:r>
                  <w:proofErr w:type="spellEnd"/>
                  <w:r w:rsidRPr="0094702E">
                    <w:rPr>
                      <w:rFonts w:cs="Arial"/>
                      <w:sz w:val="20"/>
                      <w:szCs w:val="20"/>
                    </w:rPr>
                    <w:t xml:space="preserve"> kolica </w:t>
                  </w:r>
                  <w:proofErr w:type="spellStart"/>
                  <w:r w:rsidRPr="0094702E">
                    <w:rPr>
                      <w:rFonts w:cs="Arial"/>
                      <w:sz w:val="20"/>
                      <w:szCs w:val="20"/>
                    </w:rPr>
                    <w:t>Kreativa</w:t>
                  </w:r>
                  <w:proofErr w:type="spellEnd"/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5.813,00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129210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Ostala nespomenuta potraživanja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94702E">
                    <w:rPr>
                      <w:rFonts w:cs="Arial"/>
                      <w:sz w:val="20"/>
                      <w:szCs w:val="20"/>
                    </w:rPr>
                    <w:t>Gastroprojek</w:t>
                  </w:r>
                  <w:proofErr w:type="spellEnd"/>
                  <w:r w:rsidRPr="0094702E">
                    <w:rPr>
                      <w:rFonts w:cs="Arial"/>
                      <w:sz w:val="20"/>
                      <w:szCs w:val="20"/>
                    </w:rPr>
                    <w:t xml:space="preserve"> 2x plaćen računa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1.925,00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129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26.853,06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15112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Dionice i udjeli u glavnici banaka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Nominalna vrijednost za 45 dionica PBZ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4.500,00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151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4.500,00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165264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za prehranu i produženi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32.597,00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165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32.597,00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166150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za prihode od pruženih usluga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76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Račun  br. 19/0000025 za korištenje dvorane klub JUMP  VA 15.01.2020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102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Račun  br. 19/0000028 za korištenje dvorane ŠNK "MLADOST" REPUŠNICA  VA 15.01.2020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750,00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Račun  Vesna Babić br. 19/0000026  VA  15.01.2020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164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1.400,00</w:t>
                  </w:r>
                </w:p>
              </w:tc>
            </w:tr>
            <w:tr w:rsidR="0094702E" w:rsidRPr="0094702E" w:rsidTr="00B21C7A">
              <w:trPr>
                <w:trHeight w:val="76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16831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za ostale prihode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Potraživanje za više uplaćeno po obračunu emisije CO2 Fond za zaštitu okoliša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1.114,72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168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1.114,72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17211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Potraživanja od prodaje stana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Rata za otplatu stana 12-2018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161,00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172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161,00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19311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Plaća i prijevoz za 12-19 COP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611.615,64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Plaća i prijevoz za pomoćnike u nastavi 12-19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25.904,04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Plaća za produženi12-18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9.180,70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51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Stručno osposobljavanje 12-18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1.171,74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UKUPNO 193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647.872,12</w:t>
                  </w:r>
                </w:p>
              </w:tc>
            </w:tr>
            <w:tr w:rsidR="0094702E" w:rsidRPr="0094702E" w:rsidTr="00B21C7A">
              <w:trPr>
                <w:trHeight w:val="25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SVEUKUPNO POTRAŽIVANJA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02E" w:rsidRPr="0094702E" w:rsidRDefault="0094702E" w:rsidP="0094702E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94702E">
                    <w:rPr>
                      <w:rFonts w:cs="Arial"/>
                      <w:b/>
                      <w:bCs/>
                      <w:sz w:val="20"/>
                      <w:szCs w:val="20"/>
                    </w:rPr>
                    <w:t>714.512,20</w:t>
                  </w:r>
                </w:p>
              </w:tc>
            </w:tr>
          </w:tbl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B21C7A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B21C7A">
        <w:trPr>
          <w:trHeight w:val="80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63E2" w:rsidRDefault="000D63E2" w:rsidP="000D63E2">
      <w:pPr>
        <w:pStyle w:val="Odlomakpopisa"/>
      </w:pPr>
    </w:p>
    <w:p w:rsidR="000A6D27" w:rsidRPr="0081640D" w:rsidRDefault="000A6D27" w:rsidP="000D63E2">
      <w:pPr>
        <w:pStyle w:val="Odlomakpopisa"/>
      </w:pPr>
    </w:p>
    <w:p w:rsidR="000D63E2" w:rsidRPr="0081640D" w:rsidRDefault="00B21C7A" w:rsidP="00A05936">
      <w:pPr>
        <w:ind w:left="142"/>
      </w:pPr>
      <w:r>
        <w:t>4</w:t>
      </w:r>
      <w:r w:rsidR="00A05936">
        <w:t>.</w:t>
      </w:r>
      <w:r w:rsidR="000D63E2" w:rsidRPr="0081640D">
        <w:t>AOP 12</w:t>
      </w:r>
      <w:r w:rsidR="0035022F">
        <w:t>9</w:t>
      </w:r>
      <w:r w:rsidR="000D63E2" w:rsidRPr="0081640D">
        <w:t xml:space="preserve">  Dionice i udjeli u glavnici</w:t>
      </w:r>
    </w:p>
    <w:p w:rsidR="000D63E2" w:rsidRPr="0081640D" w:rsidRDefault="000D63E2" w:rsidP="000D63E2">
      <w:pPr>
        <w:pStyle w:val="Odlomakpopisa"/>
      </w:pPr>
    </w:p>
    <w:p w:rsidR="002A754C" w:rsidRPr="0081640D" w:rsidRDefault="000D63E2" w:rsidP="000D63E2">
      <w:pPr>
        <w:pStyle w:val="Odlomakpopisa"/>
      </w:pPr>
      <w:r w:rsidRPr="0081640D">
        <w:t xml:space="preserve">Posjedujemo 45 dionica PBZ nominalne vrijednosti 4500,00 kn. </w:t>
      </w:r>
    </w:p>
    <w:p w:rsidR="007A3F34" w:rsidRPr="0081640D" w:rsidRDefault="007A3F34" w:rsidP="000D63E2">
      <w:pPr>
        <w:pStyle w:val="Odlomakpopisa"/>
      </w:pPr>
    </w:p>
    <w:p w:rsidR="00D1252C" w:rsidRDefault="00D1252C" w:rsidP="001B0925">
      <w:pPr>
        <w:pStyle w:val="Odlomakpopisa"/>
      </w:pPr>
    </w:p>
    <w:p w:rsidR="00DE64EA" w:rsidRDefault="00DE64EA" w:rsidP="001B0925">
      <w:pPr>
        <w:pStyle w:val="Odlomakpopisa"/>
      </w:pPr>
    </w:p>
    <w:p w:rsidR="005760ED" w:rsidRPr="0081640D" w:rsidRDefault="00121356" w:rsidP="00A05936">
      <w:pPr>
        <w:ind w:left="142"/>
      </w:pPr>
      <w:r>
        <w:t>5</w:t>
      </w:r>
      <w:r w:rsidR="00A05936">
        <w:t>.</w:t>
      </w:r>
      <w:r w:rsidR="002A754C" w:rsidRPr="0081640D">
        <w:t xml:space="preserve"> </w:t>
      </w:r>
      <w:r w:rsidR="005760ED" w:rsidRPr="0081640D">
        <w:t>AOP 157 Potraživanja od prodaje nefinancijske imovine</w:t>
      </w:r>
    </w:p>
    <w:p w:rsidR="00361BBE" w:rsidRDefault="005760ED" w:rsidP="005760ED">
      <w:pPr>
        <w:pStyle w:val="Odlomakpopisa"/>
      </w:pPr>
      <w:r w:rsidRPr="0081640D">
        <w:t xml:space="preserve">Potraživanje  se odnosi na </w:t>
      </w:r>
      <w:r w:rsidR="00361BBE">
        <w:t>ne</w:t>
      </w:r>
      <w:r w:rsidR="00B21C7A">
        <w:t>dospjelu</w:t>
      </w:r>
      <w:r w:rsidR="00361BBE">
        <w:t xml:space="preserve"> ratu za  12/1</w:t>
      </w:r>
      <w:r w:rsidR="00B21C7A">
        <w:t>9</w:t>
      </w:r>
      <w:r w:rsidR="00361BBE">
        <w:t xml:space="preserve"> za otplatu stana</w:t>
      </w:r>
      <w:r w:rsidRPr="0081640D">
        <w:t xml:space="preserve"> gospođe Žilić. Mjesečna otplata iznosi</w:t>
      </w:r>
      <w:r w:rsidR="00D1252C">
        <w:t xml:space="preserve"> oko</w:t>
      </w:r>
      <w:r w:rsidR="0044318F" w:rsidRPr="0081640D">
        <w:t xml:space="preserve"> 16</w:t>
      </w:r>
      <w:r w:rsidR="00361BBE">
        <w:t>1</w:t>
      </w:r>
      <w:r w:rsidR="0044318F" w:rsidRPr="0081640D">
        <w:t xml:space="preserve">,00 kn. </w:t>
      </w:r>
    </w:p>
    <w:p w:rsidR="00B8365D" w:rsidRDefault="00361BBE" w:rsidP="005760ED">
      <w:pPr>
        <w:pStyle w:val="Odlomakpopisa"/>
      </w:pPr>
      <w:r>
        <w:t>Kupoprodaja stana je izvršena 1995. godine i tada je u knjigovodstvo uveden iznos</w:t>
      </w:r>
      <w:r w:rsidR="0044318F" w:rsidRPr="0081640D">
        <w:t xml:space="preserve"> </w:t>
      </w:r>
      <w:r>
        <w:t xml:space="preserve">glavnice, bez kamata. Taj dio je podmiren. </w:t>
      </w:r>
    </w:p>
    <w:p w:rsidR="00B8365D" w:rsidRDefault="00361BBE" w:rsidP="005760ED">
      <w:pPr>
        <w:pStyle w:val="Odlomakpopisa"/>
      </w:pPr>
      <w:r>
        <w:t xml:space="preserve">Izrađen je informativni izračun stanja potraživanja te je prema njemu, obveza kupca </w:t>
      </w:r>
      <w:r w:rsidR="00B8365D">
        <w:t xml:space="preserve">još otprilike oko </w:t>
      </w:r>
      <w:r w:rsidR="00B21C7A">
        <w:t>4</w:t>
      </w:r>
      <w:r w:rsidR="00B8365D">
        <w:t>.000 kn.</w:t>
      </w:r>
    </w:p>
    <w:p w:rsidR="005760ED" w:rsidRPr="0081640D" w:rsidRDefault="00B8365D" w:rsidP="005760ED">
      <w:pPr>
        <w:pStyle w:val="Odlomakpopisa"/>
      </w:pPr>
      <w:r>
        <w:t>Na kraju svake godine u d</w:t>
      </w:r>
      <w:r w:rsidR="0044318F" w:rsidRPr="0081640D">
        <w:t>ržavni proračun uplaćujemo 65% prikupljenih sredstava.</w:t>
      </w:r>
    </w:p>
    <w:p w:rsidR="005760ED" w:rsidRPr="0081640D" w:rsidRDefault="005760ED" w:rsidP="002A754C">
      <w:pPr>
        <w:pStyle w:val="Odlomakpopisa"/>
      </w:pPr>
    </w:p>
    <w:p w:rsidR="002A754C" w:rsidRPr="0081640D" w:rsidRDefault="00121356" w:rsidP="00A05936">
      <w:pPr>
        <w:ind w:left="142"/>
      </w:pPr>
      <w:r>
        <w:t>6</w:t>
      </w:r>
      <w:r w:rsidR="00A05936">
        <w:t>.</w:t>
      </w:r>
      <w:r w:rsidR="002A754C" w:rsidRPr="0081640D">
        <w:t xml:space="preserve">AOP </w:t>
      </w:r>
      <w:r w:rsidR="001D2311" w:rsidRPr="0081640D">
        <w:t>158</w:t>
      </w:r>
      <w:r w:rsidR="002A754C" w:rsidRPr="0081640D">
        <w:t xml:space="preserve"> Rashodi budućih razdoblja i nedospjela naplata prihoda</w:t>
      </w:r>
    </w:p>
    <w:p w:rsidR="002A754C" w:rsidRPr="0081640D" w:rsidRDefault="002A754C" w:rsidP="002A754C">
      <w:pPr>
        <w:pStyle w:val="Odlomakpopisa"/>
      </w:pPr>
    </w:p>
    <w:p w:rsidR="00B8365D" w:rsidRDefault="001D2311" w:rsidP="00B8365D">
      <w:pPr>
        <w:pStyle w:val="Odlomakpopisa"/>
      </w:pPr>
      <w:r w:rsidRPr="0081640D">
        <w:t>Obračunata plaća za</w:t>
      </w:r>
      <w:r w:rsidR="00B8365D">
        <w:t xml:space="preserve"> 12/1</w:t>
      </w:r>
      <w:r w:rsidR="00B21C7A">
        <w:t>9</w:t>
      </w:r>
      <w:r w:rsidR="00B8365D">
        <w:t xml:space="preserve"> za redovne plaće, plaće učitelja u produženom boravku i plaće pomoćnika u nastavi koji se financiraju putem projekata EU, te obveza za doprinose  za stručno osposobljavanje.</w:t>
      </w:r>
    </w:p>
    <w:p w:rsidR="00B8365D" w:rsidRDefault="00B8365D" w:rsidP="00B8365D">
      <w:pPr>
        <w:pStyle w:val="Odlomakpopisa"/>
      </w:pPr>
    </w:p>
    <w:p w:rsidR="002A754C" w:rsidRDefault="00121356" w:rsidP="00A05936">
      <w:pPr>
        <w:ind w:left="142"/>
      </w:pPr>
      <w:r>
        <w:t>7</w:t>
      </w:r>
      <w:r w:rsidR="00A05936">
        <w:t>.</w:t>
      </w:r>
      <w:r w:rsidR="00A305BB">
        <w:t xml:space="preserve">AOP 163 Obveze – detaljno </w:t>
      </w:r>
      <w:r w:rsidR="00884245">
        <w:t xml:space="preserve">su razrađene </w:t>
      </w:r>
      <w:r w:rsidR="00A305BB">
        <w:t>u prilogu bilješkama s popisom obveza.</w:t>
      </w:r>
    </w:p>
    <w:p w:rsidR="00DE64EA" w:rsidRDefault="00DE64EA" w:rsidP="005B5600"/>
    <w:p w:rsidR="005B5600" w:rsidRDefault="00121356" w:rsidP="00A05936">
      <w:pPr>
        <w:ind w:left="142"/>
      </w:pPr>
      <w:r>
        <w:t>8</w:t>
      </w:r>
      <w:r w:rsidR="00A05936">
        <w:t>.</w:t>
      </w:r>
      <w:r w:rsidR="005B5600">
        <w:t>AOP 192 Obveze za kredite i zajmove</w:t>
      </w:r>
    </w:p>
    <w:p w:rsidR="005B5600" w:rsidRDefault="005B5600" w:rsidP="005B5600">
      <w:r>
        <w:t xml:space="preserve">            </w:t>
      </w:r>
    </w:p>
    <w:p w:rsidR="005B5600" w:rsidRDefault="005B5600" w:rsidP="005B5600">
      <w:pPr>
        <w:ind w:left="360"/>
      </w:pPr>
      <w:r>
        <w:t xml:space="preserve">      Za potrebe energetske obnove, a prema Odluci gradskog vijeća Kutina, škola je digla dugoročni kredit u iznosu 5. 041.000,00 kn  s rokom otplate 5 godina i početkom otplate 1-2019, te kamatnom stopom 2,15% godišnje, fiksno.</w:t>
      </w:r>
      <w:r w:rsidR="00B21C7A">
        <w:t xml:space="preserve"> U ovoj godini izvršena je djelomična prijevremena otplata kredita (podmirena iz sredstava za </w:t>
      </w:r>
      <w:proofErr w:type="spellStart"/>
      <w:r w:rsidR="00B21C7A">
        <w:t>energesku</w:t>
      </w:r>
      <w:proofErr w:type="spellEnd"/>
      <w:r w:rsidR="00B21C7A">
        <w:t xml:space="preserve"> </w:t>
      </w:r>
      <w:proofErr w:type="spellStart"/>
      <w:r w:rsidR="00B21C7A">
        <w:t>oobnovu</w:t>
      </w:r>
      <w:proofErr w:type="spellEnd"/>
      <w:r w:rsidR="00B21C7A">
        <w:t xml:space="preserve"> u sklopu projekta)</w:t>
      </w:r>
      <w:r w:rsidR="003D0CEE">
        <w:t>. Preostali dio kredita je 829,678,00 kn.</w:t>
      </w:r>
    </w:p>
    <w:p w:rsidR="005B5600" w:rsidRDefault="005B5600" w:rsidP="005B5600">
      <w:pPr>
        <w:ind w:left="360"/>
      </w:pPr>
    </w:p>
    <w:p w:rsidR="000A6D27" w:rsidRDefault="000A6D27" w:rsidP="005B5600">
      <w:pPr>
        <w:ind w:left="360"/>
      </w:pPr>
    </w:p>
    <w:p w:rsidR="00DE64EA" w:rsidRDefault="00DE64EA" w:rsidP="005B5600">
      <w:pPr>
        <w:ind w:left="360"/>
      </w:pPr>
    </w:p>
    <w:p w:rsidR="001E094B" w:rsidRPr="0081640D" w:rsidRDefault="00116123" w:rsidP="00116123">
      <w:pPr>
        <w:ind w:left="142"/>
      </w:pPr>
      <w:r>
        <w:t>9</w:t>
      </w:r>
      <w:r w:rsidR="00A05936">
        <w:t>.</w:t>
      </w:r>
      <w:r w:rsidR="001E094B" w:rsidRPr="0081640D">
        <w:t xml:space="preserve">AOP </w:t>
      </w:r>
      <w:r w:rsidR="00716A42" w:rsidRPr="0081640D">
        <w:t>23</w:t>
      </w:r>
      <w:r w:rsidR="003D0CEE">
        <w:t>2</w:t>
      </w:r>
      <w:r>
        <w:t>, 236 Višak/manjak prihoda</w:t>
      </w:r>
    </w:p>
    <w:p w:rsidR="001E094B" w:rsidRPr="0081640D" w:rsidRDefault="00A305BB" w:rsidP="001E094B">
      <w:pPr>
        <w:pStyle w:val="Odlomakpopisa"/>
      </w:pPr>
      <w:r>
        <w:t xml:space="preserve"> U 201</w:t>
      </w:r>
      <w:r w:rsidR="003D0CEE">
        <w:t>9</w:t>
      </w:r>
      <w:r>
        <w:t>. godini o</w:t>
      </w:r>
      <w:r w:rsidR="001E094B" w:rsidRPr="0081640D">
        <w:t xml:space="preserve">stvaren je </w:t>
      </w:r>
      <w:r>
        <w:t>višak</w:t>
      </w:r>
      <w:r w:rsidR="001E094B" w:rsidRPr="0081640D">
        <w:t xml:space="preserve"> </w:t>
      </w:r>
      <w:r w:rsidR="00C90603">
        <w:t xml:space="preserve">primitaka od financijske imovine u iznosu </w:t>
      </w:r>
      <w:r w:rsidR="003D0CEE">
        <w:t>829.678</w:t>
      </w:r>
      <w:r w:rsidR="00C90603">
        <w:t>, višak prihoda</w:t>
      </w:r>
      <w:r w:rsidR="001E094B" w:rsidRPr="0081640D">
        <w:t xml:space="preserve"> poslovanja</w:t>
      </w:r>
      <w:r w:rsidR="00C90603">
        <w:t xml:space="preserve"> u iznosu </w:t>
      </w:r>
      <w:r w:rsidR="003D0CEE">
        <w:t>907.273 kn</w:t>
      </w:r>
      <w:r w:rsidR="00C90603">
        <w:t>, te</w:t>
      </w:r>
      <w:r w:rsidR="001E094B" w:rsidRPr="0081640D">
        <w:t xml:space="preserve"> manjak p</w:t>
      </w:r>
      <w:r w:rsidR="00C90603">
        <w:t xml:space="preserve">rihoda od nefinancijske imovine u iznosu </w:t>
      </w:r>
      <w:r w:rsidR="003D0CEE">
        <w:t>1.802.466</w:t>
      </w:r>
      <w:r w:rsidR="00C90603">
        <w:t xml:space="preserve"> kn.</w:t>
      </w:r>
    </w:p>
    <w:p w:rsidR="001E094B" w:rsidRPr="0081640D" w:rsidRDefault="001E094B" w:rsidP="001E094B">
      <w:pPr>
        <w:pStyle w:val="Odlomakpopisa"/>
      </w:pPr>
      <w:r w:rsidRPr="0081640D">
        <w:t xml:space="preserve">Sukladno čl. </w:t>
      </w:r>
      <w:r w:rsidR="002A658D">
        <w:t>82</w:t>
      </w:r>
      <w:r w:rsidRPr="0081640D">
        <w:t xml:space="preserve">. </w:t>
      </w:r>
      <w:r w:rsidR="00384136" w:rsidRPr="0081640D">
        <w:t xml:space="preserve"> stavak </w:t>
      </w:r>
      <w:r w:rsidR="002A658D">
        <w:t>1</w:t>
      </w:r>
      <w:r w:rsidR="00384136" w:rsidRPr="0081640D">
        <w:t xml:space="preserve">. </w:t>
      </w:r>
      <w:r w:rsidR="002A658D">
        <w:t>Pravilnika</w:t>
      </w:r>
      <w:r w:rsidR="00384136" w:rsidRPr="0081640D">
        <w:t>,</w:t>
      </w:r>
      <w:r w:rsidRPr="0081640D">
        <w:t xml:space="preserve"> provedena je korekcija rezultata za </w:t>
      </w:r>
      <w:r w:rsidRPr="00E63C47">
        <w:t>prijenose kapitalnih sredstava:</w:t>
      </w:r>
    </w:p>
    <w:p w:rsidR="00384136" w:rsidRPr="0081640D" w:rsidRDefault="00384136" w:rsidP="001E094B">
      <w:pPr>
        <w:pStyle w:val="Odlomakpopisa"/>
      </w:pPr>
    </w:p>
    <w:p w:rsidR="00384136" w:rsidRPr="0081640D" w:rsidRDefault="002A658D" w:rsidP="002A658D">
      <w:r>
        <w:t xml:space="preserve">     -   - </w:t>
      </w:r>
      <w:r w:rsidR="00CA5745" w:rsidRPr="0081640D">
        <w:t>prijenos iz gradskog proračuna</w:t>
      </w:r>
      <w:r w:rsidR="00384136" w:rsidRPr="0081640D">
        <w:t xml:space="preserve"> za </w:t>
      </w:r>
      <w:r>
        <w:t xml:space="preserve">nabavu imovine </w:t>
      </w:r>
      <w:r w:rsidR="003D0CEE">
        <w:t>6.187,50</w:t>
      </w:r>
      <w:r>
        <w:t xml:space="preserve"> kn</w:t>
      </w:r>
    </w:p>
    <w:p w:rsidR="001E094B" w:rsidRDefault="00384136" w:rsidP="00C6702B">
      <w:pPr>
        <w:pStyle w:val="Odlomakpopisa"/>
      </w:pPr>
      <w:r w:rsidRPr="0081640D">
        <w:t>-</w:t>
      </w:r>
    </w:p>
    <w:p w:rsidR="00C861FF" w:rsidRDefault="00C861FF" w:rsidP="00C6702B">
      <w:pPr>
        <w:pStyle w:val="Odlomakpopisa"/>
      </w:pPr>
      <w:r>
        <w:t xml:space="preserve">-prijenos MZO za nabavu knjiga </w:t>
      </w:r>
      <w:r w:rsidR="002A658D">
        <w:t xml:space="preserve">i </w:t>
      </w:r>
      <w:r w:rsidR="00E63C47">
        <w:t xml:space="preserve">udžbenika te </w:t>
      </w:r>
      <w:proofErr w:type="spellStart"/>
      <w:r w:rsidR="00E63C47">
        <w:t>kurikularnu</w:t>
      </w:r>
      <w:proofErr w:type="spellEnd"/>
      <w:r w:rsidR="00E63C47">
        <w:t xml:space="preserve">  </w:t>
      </w:r>
      <w:r>
        <w:t xml:space="preserve"> </w:t>
      </w:r>
      <w:r w:rsidR="00E63C47" w:rsidRPr="00E63C47">
        <w:t>254</w:t>
      </w:r>
      <w:r w:rsidR="00E63C47">
        <w:t>.</w:t>
      </w:r>
      <w:r w:rsidR="00E63C47" w:rsidRPr="00E63C47">
        <w:t>809,64</w:t>
      </w:r>
      <w:r w:rsidR="00E63C47">
        <w:t xml:space="preserve"> </w:t>
      </w:r>
      <w:r w:rsidR="002A658D">
        <w:t>kn</w:t>
      </w:r>
    </w:p>
    <w:p w:rsidR="002A658D" w:rsidRPr="0081640D" w:rsidRDefault="002A658D" w:rsidP="00C6702B">
      <w:pPr>
        <w:pStyle w:val="Odlomakpopisa"/>
      </w:pPr>
      <w:r>
        <w:t>-</w:t>
      </w:r>
      <w:r w:rsidR="00E63C47">
        <w:t>završne uplate</w:t>
      </w:r>
      <w:r>
        <w:t xml:space="preserve"> za energetsku obnovu </w:t>
      </w:r>
      <w:r w:rsidR="00E63C47" w:rsidRPr="00E63C47">
        <w:t>4</w:t>
      </w:r>
      <w:r w:rsidR="00E63C47">
        <w:t>.</w:t>
      </w:r>
      <w:r w:rsidR="00E63C47" w:rsidRPr="00E63C47">
        <w:t>007</w:t>
      </w:r>
      <w:r w:rsidR="00E63C47">
        <w:t>.</w:t>
      </w:r>
      <w:r w:rsidR="00E63C47" w:rsidRPr="00E63C47">
        <w:t>36</w:t>
      </w:r>
      <w:r w:rsidR="00E63C47">
        <w:t>7</w:t>
      </w:r>
      <w:r w:rsidR="00E63C47" w:rsidRPr="00E63C47">
        <w:t>,35</w:t>
      </w:r>
    </w:p>
    <w:p w:rsidR="002A658D" w:rsidRDefault="00113FE9" w:rsidP="001E094B">
      <w:pPr>
        <w:pStyle w:val="Odlomakpopisa"/>
      </w:pPr>
      <w:r w:rsidRPr="0081640D">
        <w:t xml:space="preserve">Ukupan iznos izvršene korekcije rezultata je </w:t>
      </w:r>
      <w:r w:rsidR="00E63C47">
        <w:t>4.268.364,53</w:t>
      </w:r>
      <w:r w:rsidRPr="0081640D">
        <w:t xml:space="preserve"> kn.</w:t>
      </w:r>
      <w:r w:rsidR="00C6702B">
        <w:t xml:space="preserve"> </w:t>
      </w:r>
    </w:p>
    <w:p w:rsidR="002A658D" w:rsidRDefault="002A658D" w:rsidP="001E094B">
      <w:pPr>
        <w:pStyle w:val="Odlomakpopisa"/>
      </w:pPr>
      <w:r>
        <w:t xml:space="preserve">Korekcijom je višak poslovanja </w:t>
      </w:r>
      <w:r w:rsidR="00B8675F">
        <w:t>umanji</w:t>
      </w:r>
      <w:r w:rsidR="00E63C47">
        <w:t>li smo</w:t>
      </w:r>
      <w:r w:rsidR="00B8675F">
        <w:t xml:space="preserve"> manjak</w:t>
      </w:r>
      <w:r>
        <w:t xml:space="preserve"> od nefinancijske imovine</w:t>
      </w:r>
      <w:r w:rsidR="00B8675F">
        <w:t>.</w:t>
      </w:r>
    </w:p>
    <w:p w:rsidR="00116123" w:rsidRDefault="00CA5745" w:rsidP="008C3500">
      <w:pPr>
        <w:pStyle w:val="Odlomakpopisa"/>
      </w:pPr>
      <w:r w:rsidRPr="001F4D53">
        <w:t>P</w:t>
      </w:r>
      <w:r w:rsidR="00113FE9" w:rsidRPr="001F4D53">
        <w:t>odatak u Bilanci je naveden nakon provedene korekcije rezultata i razlikuje se od podataka u Obrascu PR</w:t>
      </w:r>
      <w:r w:rsidR="00113FE9" w:rsidRPr="0081640D">
        <w:t xml:space="preserve">-RAS. </w:t>
      </w:r>
    </w:p>
    <w:p w:rsidR="008C3500" w:rsidRDefault="008C3500" w:rsidP="008C3500">
      <w:r>
        <w:t xml:space="preserve">   10. AOP 224 Vlastiti izvori i ispravak</w:t>
      </w:r>
    </w:p>
    <w:p w:rsidR="00230CAD" w:rsidRDefault="008C3500" w:rsidP="008C3500">
      <w:r>
        <w:tab/>
        <w:t xml:space="preserve">U 2019. godini izvršen je ispravak stanja na 911 zbog knjiženja iz prethodnih godina.  Knjiženje iz 2004. godine </w:t>
      </w:r>
      <w:r w:rsidR="001C00B7">
        <w:t xml:space="preserve"> u iznosu 13.132,55 kn</w:t>
      </w:r>
      <w:r>
        <w:t xml:space="preserve">(prijenos manjka od financijske </w:t>
      </w:r>
      <w:r>
        <w:lastRenderedPageBreak/>
        <w:t>imovine-otplaćen kredit iz prethodnih godina</w:t>
      </w:r>
      <w:r w:rsidR="001C00B7">
        <w:t>) preneseno je na rezultat poslovanja. Knjiženje potraživanja iz 2010. godine u iznosu  915,36 kn ispravljeno je na rezultatu poslovanja. Radilo se o potraživanju od Grada za uplatu izvršenu u gotovini na račun Grada za troškove mobitela.</w:t>
      </w:r>
    </w:p>
    <w:p w:rsidR="001C00B7" w:rsidRPr="0081640D" w:rsidRDefault="001C00B7" w:rsidP="008C3500"/>
    <w:p w:rsidR="00775097" w:rsidRDefault="00116123" w:rsidP="00A05936">
      <w:pPr>
        <w:ind w:left="142"/>
      </w:pPr>
      <w:r>
        <w:t>1</w:t>
      </w:r>
      <w:r w:rsidR="001C00B7">
        <w:t>1</w:t>
      </w:r>
      <w:r w:rsidR="00A05936">
        <w:t>.</w:t>
      </w:r>
      <w:r w:rsidR="00775097" w:rsidRPr="0081640D">
        <w:t xml:space="preserve">AOP 226 I 227 </w:t>
      </w:r>
      <w:proofErr w:type="spellStart"/>
      <w:r w:rsidR="00775097" w:rsidRPr="0081640D">
        <w:t>Izvanbilančni</w:t>
      </w:r>
      <w:proofErr w:type="spellEnd"/>
      <w:r w:rsidR="00775097" w:rsidRPr="0081640D">
        <w:t xml:space="preserve">  zapisi</w:t>
      </w:r>
    </w:p>
    <w:p w:rsidR="00121356" w:rsidRPr="0081640D" w:rsidRDefault="00121356" w:rsidP="00A05936">
      <w:pPr>
        <w:ind w:left="142"/>
      </w:pPr>
      <w:r>
        <w:t xml:space="preserve">                 U prilogu se nalazi tablica s popisom vanbilančne imovine.</w:t>
      </w:r>
    </w:p>
    <w:p w:rsidR="00775097" w:rsidRPr="0081640D" w:rsidRDefault="00775097" w:rsidP="00775097">
      <w:pPr>
        <w:pStyle w:val="Odlomakpopisa"/>
      </w:pPr>
    </w:p>
    <w:tbl>
      <w:tblPr>
        <w:tblW w:w="11483" w:type="dxa"/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3544"/>
        <w:gridCol w:w="1418"/>
        <w:gridCol w:w="1559"/>
      </w:tblGrid>
      <w:tr w:rsidR="00230CAD" w:rsidRPr="00230CAD" w:rsidTr="00121356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29" w:rsidRPr="00230CAD" w:rsidRDefault="00C40B29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A7EE9" w:rsidRPr="0081640D" w:rsidRDefault="000D63E2" w:rsidP="00CA7EE9">
      <w:r w:rsidRPr="0081640D">
        <w:t xml:space="preserve">          </w:t>
      </w:r>
    </w:p>
    <w:p w:rsidR="00CA7EE9" w:rsidRPr="0081640D" w:rsidRDefault="009F34A7">
      <w:pPr>
        <w:rPr>
          <w:b/>
        </w:rPr>
      </w:pPr>
      <w:r w:rsidRPr="0081640D">
        <w:rPr>
          <w:b/>
        </w:rPr>
        <w:t>BILJEŠKE UZ PR-RAS</w:t>
      </w:r>
    </w:p>
    <w:p w:rsidR="009F34A7" w:rsidRPr="0081640D" w:rsidRDefault="009F34A7">
      <w:pPr>
        <w:rPr>
          <w:b/>
        </w:rPr>
      </w:pPr>
    </w:p>
    <w:p w:rsidR="00A205A7" w:rsidRDefault="00116123" w:rsidP="00A05936">
      <w:pPr>
        <w:tabs>
          <w:tab w:val="left" w:pos="709"/>
        </w:tabs>
        <w:outlineLvl w:val="0"/>
      </w:pPr>
      <w:r>
        <w:t>1</w:t>
      </w:r>
      <w:r w:rsidR="001C00B7">
        <w:t>2</w:t>
      </w:r>
      <w:r w:rsidR="00A05936">
        <w:t>.</w:t>
      </w:r>
      <w:r w:rsidR="00F83D5E">
        <w:t>AOP  06</w:t>
      </w:r>
      <w:r>
        <w:t>5</w:t>
      </w:r>
      <w:r w:rsidR="00F83D5E">
        <w:t xml:space="preserve"> </w:t>
      </w:r>
      <w:r w:rsidR="00F83D5E" w:rsidRPr="00A05936">
        <w:rPr>
          <w:b/>
        </w:rPr>
        <w:t>Kapitalne pomoći proračunskim korisnicima iz proračuna koji nije nadležan</w:t>
      </w:r>
      <w:r w:rsidR="00F83D5E">
        <w:t xml:space="preserve"> </w:t>
      </w:r>
    </w:p>
    <w:p w:rsidR="0021249E" w:rsidRDefault="0021249E" w:rsidP="0021249E">
      <w:pPr>
        <w:pStyle w:val="Odlomakpopisa"/>
        <w:tabs>
          <w:tab w:val="left" w:pos="709"/>
        </w:tabs>
        <w:ind w:left="360"/>
        <w:outlineLvl w:val="0"/>
      </w:pPr>
      <w:r>
        <w:t xml:space="preserve">       Odnosi se na pomoć MZO za nabavu knjiga u školskoj knjižnici</w:t>
      </w:r>
      <w:r w:rsidR="00116123">
        <w:t xml:space="preserve">, nabavu udžbenika za redovnu nastavu, nabavu u sklopu </w:t>
      </w:r>
      <w:proofErr w:type="spellStart"/>
      <w:r w:rsidR="00116123">
        <w:t>kurikularne</w:t>
      </w:r>
      <w:proofErr w:type="spellEnd"/>
      <w:r w:rsidR="00116123">
        <w:t xml:space="preserve"> reforme</w:t>
      </w:r>
      <w:r>
        <w:t xml:space="preserve"> </w:t>
      </w:r>
      <w:r w:rsidR="00116123">
        <w:t xml:space="preserve"> te  završno financiranje </w:t>
      </w:r>
      <w:r>
        <w:t>po ugovoru o energetskoj obnovi zgrade.</w:t>
      </w:r>
    </w:p>
    <w:p w:rsidR="0021249E" w:rsidRDefault="0021249E" w:rsidP="0021249E">
      <w:pPr>
        <w:tabs>
          <w:tab w:val="left" w:pos="709"/>
        </w:tabs>
        <w:outlineLvl w:val="0"/>
      </w:pPr>
    </w:p>
    <w:p w:rsidR="00F83D5E" w:rsidRDefault="00F83D5E" w:rsidP="00F83D5E">
      <w:pPr>
        <w:pStyle w:val="Odlomakpopisa"/>
        <w:tabs>
          <w:tab w:val="left" w:pos="709"/>
        </w:tabs>
        <w:ind w:left="360"/>
        <w:outlineLvl w:val="0"/>
      </w:pPr>
      <w:r>
        <w:t xml:space="preserve">        </w:t>
      </w:r>
    </w:p>
    <w:p w:rsidR="00A205A7" w:rsidRDefault="00A05936" w:rsidP="00A05936">
      <w:pPr>
        <w:tabs>
          <w:tab w:val="left" w:pos="709"/>
        </w:tabs>
        <w:outlineLvl w:val="0"/>
      </w:pPr>
      <w:r>
        <w:t>1</w:t>
      </w:r>
      <w:r w:rsidR="001C00B7">
        <w:t>3</w:t>
      </w:r>
      <w:r>
        <w:t>.</w:t>
      </w:r>
      <w:r w:rsidR="00A205A7">
        <w:t>AOP  06</w:t>
      </w:r>
      <w:r w:rsidR="00116123">
        <w:t>6</w:t>
      </w:r>
      <w:r w:rsidR="00A205A7">
        <w:t xml:space="preserve"> </w:t>
      </w:r>
      <w:r w:rsidR="00A205A7" w:rsidRPr="00A05936">
        <w:rPr>
          <w:b/>
        </w:rPr>
        <w:t>Pomoći iz državnog proračuna temeljem prijenosa EU sredstava</w:t>
      </w:r>
    </w:p>
    <w:p w:rsidR="00A205A7" w:rsidRDefault="00A205A7" w:rsidP="00A205A7">
      <w:pPr>
        <w:pStyle w:val="Odlomakpopisa"/>
        <w:tabs>
          <w:tab w:val="left" w:pos="709"/>
        </w:tabs>
        <w:ind w:left="502"/>
        <w:outlineLvl w:val="0"/>
      </w:pPr>
      <w:r>
        <w:t xml:space="preserve">     Pomoć se odnosi na uplate za prehranu učenika –Projekt najpotrebitijima </w:t>
      </w:r>
      <w:r w:rsidR="0021249E">
        <w:t xml:space="preserve"> u iznosu1</w:t>
      </w:r>
      <w:r w:rsidR="007165FA">
        <w:t>9</w:t>
      </w:r>
      <w:r w:rsidR="0021249E">
        <w:t>2</w:t>
      </w:r>
      <w:r w:rsidR="007165FA">
        <w:t>.833,91</w:t>
      </w:r>
      <w:r w:rsidR="00CB3936">
        <w:t xml:space="preserve"> kn.</w:t>
      </w:r>
      <w:r>
        <w:t xml:space="preserve"> </w:t>
      </w:r>
      <w:r w:rsidR="00CB3936">
        <w:t>N</w:t>
      </w:r>
      <w:r>
        <w:t>a financ</w:t>
      </w:r>
      <w:r w:rsidR="000335AF">
        <w:t>ir</w:t>
      </w:r>
      <w:r>
        <w:t>anje pomoćnika u nastavi, također putem projekta (92% s</w:t>
      </w:r>
      <w:r w:rsidR="00CB3936">
        <w:t xml:space="preserve">redstva EU i 8% sredstva Grada) </w:t>
      </w:r>
      <w:proofErr w:type="spellStart"/>
      <w:r w:rsidR="00CB3936">
        <w:t>oprihodovali</w:t>
      </w:r>
      <w:proofErr w:type="spellEnd"/>
      <w:r w:rsidR="00CB3936">
        <w:t xml:space="preserve"> smo </w:t>
      </w:r>
      <w:r w:rsidR="007165FA">
        <w:t>245.967,78</w:t>
      </w:r>
      <w:r w:rsidR="00CB3936">
        <w:t xml:space="preserve"> </w:t>
      </w:r>
      <w:r>
        <w:t xml:space="preserve"> </w:t>
      </w:r>
      <w:r w:rsidR="007165FA">
        <w:t xml:space="preserve"> Također se </w:t>
      </w:r>
      <w:r w:rsidR="00CB3936">
        <w:t>znatno povećao broj djece čija prehrana se financira putem projekta.</w:t>
      </w:r>
    </w:p>
    <w:p w:rsidR="00CB3936" w:rsidRDefault="00CB3936" w:rsidP="00A205A7">
      <w:pPr>
        <w:pStyle w:val="Odlomakpopisa"/>
        <w:tabs>
          <w:tab w:val="left" w:pos="709"/>
        </w:tabs>
        <w:ind w:left="502"/>
        <w:outlineLvl w:val="0"/>
      </w:pPr>
      <w:r>
        <w:t xml:space="preserve">Od listopada 2018. </w:t>
      </w:r>
      <w:r w:rsidR="007165FA">
        <w:t xml:space="preserve"> do 11. 2019. godine bili smo </w:t>
      </w:r>
      <w:r>
        <w:t xml:space="preserve">uključeni u projekt produženog boravka za djecu romske nacionalnosti. Za tu namjenu dobili smo </w:t>
      </w:r>
      <w:r w:rsidR="00E64801">
        <w:t>114.152,10</w:t>
      </w:r>
      <w:r>
        <w:t xml:space="preserve"> kn za plaću učiteljice i prehranu djece.</w:t>
      </w:r>
    </w:p>
    <w:p w:rsidR="00CB3936" w:rsidRDefault="00CB3936" w:rsidP="00A205A7">
      <w:pPr>
        <w:pStyle w:val="Odlomakpopisa"/>
        <w:tabs>
          <w:tab w:val="left" w:pos="709"/>
        </w:tabs>
        <w:ind w:left="502"/>
        <w:outlineLvl w:val="0"/>
      </w:pPr>
      <w:r>
        <w:t xml:space="preserve">Škola je </w:t>
      </w:r>
      <w:r w:rsidR="00E64801">
        <w:t xml:space="preserve"> bila </w:t>
      </w:r>
      <w:r>
        <w:t xml:space="preserve">uključena i u projekt Shema školskog voća i mlijeka te  smo za tu namjenu dobili </w:t>
      </w:r>
      <w:r w:rsidR="00E64801">
        <w:t>21.784,47</w:t>
      </w:r>
      <w:r>
        <w:t xml:space="preserve"> kn.</w:t>
      </w:r>
      <w:r w:rsidR="00E64801">
        <w:t xml:space="preserve"> Problem je nastao prilikom naplate prihoda. Nositelj projekta je bio Grad Kutina, računi su dolazili na školu. Na računima su bili iznosi s PDV-om, a školi su priznati prihodi bez PDV. Iz tog razloga škola je napustila projekt Sheme školskog voća i mlijeka.</w:t>
      </w:r>
    </w:p>
    <w:p w:rsidR="00A205A7" w:rsidRDefault="00A205A7" w:rsidP="00A205A7">
      <w:pPr>
        <w:tabs>
          <w:tab w:val="left" w:pos="709"/>
        </w:tabs>
        <w:outlineLvl w:val="0"/>
      </w:pPr>
    </w:p>
    <w:p w:rsidR="00A05936" w:rsidRDefault="00A05936" w:rsidP="00A05936">
      <w:pPr>
        <w:tabs>
          <w:tab w:val="left" w:pos="709"/>
        </w:tabs>
        <w:outlineLvl w:val="0"/>
      </w:pPr>
    </w:p>
    <w:p w:rsidR="000616B1" w:rsidRDefault="000616B1" w:rsidP="000616B1">
      <w:pPr>
        <w:tabs>
          <w:tab w:val="left" w:pos="709"/>
        </w:tabs>
        <w:outlineLvl w:val="0"/>
      </w:pPr>
    </w:p>
    <w:p w:rsidR="00345F57" w:rsidRDefault="007165FA" w:rsidP="000616B1">
      <w:pPr>
        <w:tabs>
          <w:tab w:val="left" w:pos="709"/>
        </w:tabs>
        <w:outlineLvl w:val="0"/>
        <w:rPr>
          <w:b/>
        </w:rPr>
      </w:pPr>
      <w:r>
        <w:t>1</w:t>
      </w:r>
      <w:r w:rsidR="001C00B7">
        <w:t>4</w:t>
      </w:r>
      <w:r w:rsidR="000616B1">
        <w:t xml:space="preserve">. AOP </w:t>
      </w:r>
      <w:r>
        <w:t>134</w:t>
      </w:r>
      <w:r w:rsidR="000616B1">
        <w:t xml:space="preserve"> </w:t>
      </w:r>
      <w:r w:rsidR="00345F57">
        <w:t xml:space="preserve">  </w:t>
      </w:r>
      <w:r>
        <w:rPr>
          <w:b/>
        </w:rPr>
        <w:t>Prihodi od nadležnog proračuna za otplatu zajmova</w:t>
      </w:r>
      <w:r w:rsidR="000616B1">
        <w:rPr>
          <w:b/>
        </w:rPr>
        <w:t xml:space="preserve"> </w:t>
      </w:r>
    </w:p>
    <w:p w:rsidR="007165FA" w:rsidRDefault="007165FA" w:rsidP="000616B1">
      <w:pPr>
        <w:tabs>
          <w:tab w:val="left" w:pos="709"/>
        </w:tabs>
        <w:outlineLvl w:val="0"/>
      </w:pPr>
      <w:r>
        <w:t xml:space="preserve">       Veza bilješka 8. uz BILANCU .</w:t>
      </w:r>
    </w:p>
    <w:p w:rsidR="00345F57" w:rsidRDefault="00345F57" w:rsidP="007165FA">
      <w:pPr>
        <w:tabs>
          <w:tab w:val="left" w:pos="709"/>
        </w:tabs>
        <w:outlineLvl w:val="0"/>
      </w:pPr>
      <w:r>
        <w:t xml:space="preserve"> </w:t>
      </w:r>
    </w:p>
    <w:p w:rsidR="00345F57" w:rsidRDefault="007165FA" w:rsidP="00345F57">
      <w:r>
        <w:t>1</w:t>
      </w:r>
      <w:r w:rsidR="001C00B7">
        <w:t>5</w:t>
      </w:r>
      <w:r>
        <w:t>.</w:t>
      </w:r>
      <w:r w:rsidR="00345F57">
        <w:t xml:space="preserve"> AOP </w:t>
      </w:r>
      <w:r>
        <w:t xml:space="preserve">246 </w:t>
      </w:r>
      <w:r w:rsidRPr="007165FA">
        <w:rPr>
          <w:b/>
        </w:rPr>
        <w:t>Naknade građanima i kućanstvima</w:t>
      </w:r>
      <w:r>
        <w:t xml:space="preserve"> </w:t>
      </w:r>
    </w:p>
    <w:p w:rsidR="007165FA" w:rsidRPr="007165FA" w:rsidRDefault="007165FA" w:rsidP="00345F57">
      <w:r>
        <w:t xml:space="preserve">     Odnosi se na radne udžbenike koje je osiguralo MZO.</w:t>
      </w:r>
    </w:p>
    <w:p w:rsidR="000335AF" w:rsidRPr="000335AF" w:rsidRDefault="000335AF" w:rsidP="000335AF">
      <w:pPr>
        <w:pStyle w:val="Odlomakpopisa"/>
        <w:tabs>
          <w:tab w:val="left" w:pos="709"/>
        </w:tabs>
        <w:ind w:left="502"/>
        <w:outlineLvl w:val="0"/>
      </w:pPr>
    </w:p>
    <w:p w:rsidR="00153FF3" w:rsidRDefault="00153FF3" w:rsidP="00153FF3">
      <w:pPr>
        <w:pStyle w:val="Odlomakpopisa"/>
        <w:ind w:left="502"/>
      </w:pPr>
    </w:p>
    <w:p w:rsidR="00CA6963" w:rsidRPr="0081640D" w:rsidRDefault="008C72CA" w:rsidP="00720F74">
      <w:r>
        <w:t>1</w:t>
      </w:r>
      <w:r w:rsidR="001C00B7">
        <w:t>6</w:t>
      </w:r>
      <w:r w:rsidR="00720F74">
        <w:t>.</w:t>
      </w:r>
      <w:r w:rsidR="00153FF3">
        <w:t>A</w:t>
      </w:r>
      <w:r w:rsidR="00CA6963" w:rsidRPr="0081640D">
        <w:t>OP 63</w:t>
      </w:r>
      <w:r w:rsidR="00720F74">
        <w:t>6</w:t>
      </w:r>
      <w:r w:rsidR="00CA6963" w:rsidRPr="0081640D">
        <w:t xml:space="preserve">  </w:t>
      </w:r>
      <w:r w:rsidR="00CA6963" w:rsidRPr="00720F74">
        <w:rPr>
          <w:b/>
        </w:rPr>
        <w:t>Manjak prihoda i primitaka za pokriće u slijedećem razdoblju</w:t>
      </w:r>
    </w:p>
    <w:p w:rsidR="004373A1" w:rsidRDefault="00720F74" w:rsidP="00CA6963">
      <w:pPr>
        <w:pStyle w:val="Odlomakpopisa"/>
        <w:ind w:left="502"/>
      </w:pPr>
      <w:r>
        <w:t>Struktura rezultata je objašnjena u bilješkama uz Bilancu.</w:t>
      </w:r>
    </w:p>
    <w:p w:rsidR="00720F74" w:rsidRDefault="00720F74" w:rsidP="00CA6963">
      <w:pPr>
        <w:pStyle w:val="Odlomakpopisa"/>
        <w:ind w:left="502"/>
      </w:pPr>
    </w:p>
    <w:p w:rsidR="00AD0B08" w:rsidRPr="0081640D" w:rsidRDefault="00AD0B08" w:rsidP="00034851"/>
    <w:p w:rsidR="0048322B" w:rsidRPr="0081640D" w:rsidRDefault="0048322B" w:rsidP="0048322B">
      <w:pPr>
        <w:rPr>
          <w:b/>
        </w:rPr>
      </w:pPr>
      <w:r w:rsidRPr="0081640D">
        <w:rPr>
          <w:b/>
        </w:rPr>
        <w:t>BILJEŠKE UZ P-VRIO</w:t>
      </w:r>
    </w:p>
    <w:p w:rsidR="00AD0B08" w:rsidRDefault="001C00B7" w:rsidP="002E4366">
      <w:r>
        <w:t>17.</w:t>
      </w:r>
      <w:r w:rsidR="0048322B" w:rsidRPr="0081640D">
        <w:t xml:space="preserve">  </w:t>
      </w:r>
      <w:r w:rsidR="00BB5A65">
        <w:t xml:space="preserve">AOP </w:t>
      </w:r>
      <w:r w:rsidR="00684E42">
        <w:t>0</w:t>
      </w:r>
      <w:r w:rsidR="002E4366">
        <w:t>18</w:t>
      </w:r>
      <w:r w:rsidR="00BB5A65">
        <w:t xml:space="preserve"> </w:t>
      </w:r>
      <w:r w:rsidR="00BB5A65" w:rsidRPr="00684E42">
        <w:rPr>
          <w:b/>
        </w:rPr>
        <w:t>Promjene u obujmu imovine</w:t>
      </w:r>
      <w:r w:rsidR="00BB5A65">
        <w:t xml:space="preserve"> – </w:t>
      </w:r>
      <w:r w:rsidR="002E4366">
        <w:t>povećanje imovine za prijenos imovine od Grada u sklopu projekta Školuj se i uči</w:t>
      </w:r>
    </w:p>
    <w:p w:rsidR="00BB5A65" w:rsidRPr="0081640D" w:rsidRDefault="00BB5A65" w:rsidP="00720F74"/>
    <w:p w:rsidR="00861572" w:rsidRPr="0081640D" w:rsidRDefault="00861572" w:rsidP="00861572">
      <w:pPr>
        <w:ind w:left="142"/>
        <w:rPr>
          <w:b/>
        </w:rPr>
      </w:pPr>
      <w:r w:rsidRPr="0081640D">
        <w:rPr>
          <w:b/>
        </w:rPr>
        <w:t>BILJEŠKE UZ  OBRAZAC RAS-FUNKCIJSKI</w:t>
      </w:r>
    </w:p>
    <w:p w:rsidR="00861572" w:rsidRPr="0081640D" w:rsidRDefault="00861572" w:rsidP="00861572">
      <w:pPr>
        <w:ind w:left="142"/>
        <w:rPr>
          <w:b/>
        </w:rPr>
      </w:pPr>
    </w:p>
    <w:p w:rsidR="00861572" w:rsidRPr="0081640D" w:rsidRDefault="001C00B7" w:rsidP="00861572">
      <w:pPr>
        <w:ind w:left="142"/>
      </w:pPr>
      <w:r>
        <w:t xml:space="preserve">18 </w:t>
      </w:r>
      <w:r w:rsidR="00720F74">
        <w:t>.</w:t>
      </w:r>
      <w:r w:rsidR="00861572" w:rsidRPr="0081640D">
        <w:t>Škola obavlja djelatnost osnovnog obrazovanja. Na AOP  122 nalaze se podatak koji se odnosi na  usl</w:t>
      </w:r>
      <w:r w:rsidR="00BB5A65">
        <w:t>ugu prehrane u školskoj kuhinji – namirnice za prehranu učenika.</w:t>
      </w:r>
    </w:p>
    <w:p w:rsidR="0048322B" w:rsidRPr="0081640D" w:rsidRDefault="0048322B" w:rsidP="0048322B">
      <w:pPr>
        <w:pStyle w:val="Odlomakpopisa"/>
      </w:pPr>
    </w:p>
    <w:p w:rsidR="000A6D27" w:rsidRDefault="000A6D27" w:rsidP="000A6D27">
      <w:pPr>
        <w:rPr>
          <w:b/>
        </w:rPr>
      </w:pPr>
      <w:r w:rsidRPr="0081640D">
        <w:rPr>
          <w:b/>
        </w:rPr>
        <w:t>BILJEŠKE UZ OBVEZE</w:t>
      </w: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34851" w:rsidRPr="0081640D" w:rsidRDefault="00034851" w:rsidP="00034851"/>
    <w:p w:rsidR="0048322B" w:rsidRPr="0081640D" w:rsidRDefault="001C00B7" w:rsidP="000A6D27">
      <w:r>
        <w:t>19</w:t>
      </w:r>
      <w:r w:rsidR="000A6D27">
        <w:t>.</w:t>
      </w:r>
      <w:r w:rsidR="0048322B" w:rsidRPr="0081640D">
        <w:t>AOP 003, 02</w:t>
      </w:r>
      <w:r w:rsidR="00684E42">
        <w:t>0</w:t>
      </w:r>
      <w:r w:rsidR="0048322B" w:rsidRPr="0081640D">
        <w:t xml:space="preserve">, </w:t>
      </w:r>
      <w:r w:rsidR="00861572" w:rsidRPr="0081640D">
        <w:t>09</w:t>
      </w:r>
      <w:r w:rsidR="00684E42">
        <w:t>1</w:t>
      </w:r>
      <w:r w:rsidR="002B63AC" w:rsidRPr="0081640D">
        <w:t xml:space="preserve"> </w:t>
      </w:r>
      <w:r w:rsidR="002B63AC" w:rsidRPr="000A6D27">
        <w:rPr>
          <w:b/>
        </w:rPr>
        <w:t>Međusobne obveze proračunskih korisnika</w:t>
      </w:r>
    </w:p>
    <w:p w:rsidR="002B63AC" w:rsidRPr="0081640D" w:rsidRDefault="002B63AC" w:rsidP="002B63AC">
      <w:pPr>
        <w:pStyle w:val="Odlomakpopisa"/>
      </w:pPr>
    </w:p>
    <w:p w:rsidR="002B63AC" w:rsidRPr="0081640D" w:rsidRDefault="002B63AC" w:rsidP="008F4942">
      <w:pPr>
        <w:pStyle w:val="Odlomakpopisa"/>
      </w:pPr>
      <w:r w:rsidRPr="0081640D">
        <w:t>Odnose se na naknadu za bolovanja djelatnika preko HZZO</w:t>
      </w:r>
      <w:r w:rsidR="00684E42">
        <w:t xml:space="preserve"> </w:t>
      </w:r>
      <w:r w:rsidR="002E4366">
        <w:t>12.774,97</w:t>
      </w:r>
      <w:r w:rsidR="00684E42">
        <w:t xml:space="preserve"> kn,</w:t>
      </w:r>
      <w:r w:rsidR="00F50A9A">
        <w:t xml:space="preserve"> </w:t>
      </w:r>
      <w:r w:rsidR="00684E42">
        <w:t>obveze za povrat u gradski proračun 8361 kn(</w:t>
      </w:r>
      <w:r w:rsidR="00F50A9A">
        <w:t xml:space="preserve"> </w:t>
      </w:r>
      <w:r w:rsidR="00F11497">
        <w:t>odnosi se na uplate grada za energetsku obnovu za koje smo kasnije dobili upute za financiranje iz pomoći)</w:t>
      </w:r>
    </w:p>
    <w:p w:rsidR="005004B9" w:rsidRDefault="005004B9" w:rsidP="008F4942">
      <w:pPr>
        <w:pStyle w:val="Odlomakpopisa"/>
      </w:pPr>
    </w:p>
    <w:p w:rsidR="00E93ECE" w:rsidRDefault="00E93ECE" w:rsidP="008F4942">
      <w:pPr>
        <w:pStyle w:val="Odlomakpopisa"/>
      </w:pPr>
    </w:p>
    <w:p w:rsidR="00E93ECE" w:rsidRDefault="00E93ECE" w:rsidP="008F4942">
      <w:pPr>
        <w:pStyle w:val="Odlomakpopisa"/>
      </w:pPr>
      <w:r>
        <w:t>RAZRADA OBVEZA</w:t>
      </w:r>
    </w:p>
    <w:p w:rsidR="00E93ECE" w:rsidRDefault="00E93ECE" w:rsidP="008F4942">
      <w:pPr>
        <w:pStyle w:val="Odlomakpopisa"/>
      </w:pPr>
    </w:p>
    <w:p w:rsidR="00E93ECE" w:rsidRPr="0081640D" w:rsidRDefault="00E93ECE" w:rsidP="008F4942">
      <w:pPr>
        <w:pStyle w:val="Odlomakpopisa"/>
      </w:pP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195"/>
        <w:gridCol w:w="1384"/>
        <w:gridCol w:w="1159"/>
        <w:gridCol w:w="1159"/>
        <w:gridCol w:w="1159"/>
        <w:gridCol w:w="1056"/>
        <w:gridCol w:w="1487"/>
      </w:tblGrid>
      <w:tr w:rsidR="000A6D27" w:rsidRPr="000A6D27" w:rsidTr="00E72977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A6D27">
              <w:rPr>
                <w:rFonts w:cs="Arial"/>
                <w:sz w:val="20"/>
                <w:szCs w:val="20"/>
              </w:rPr>
              <w:t>kto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 xml:space="preserve">Naziv </w:t>
            </w:r>
            <w:proofErr w:type="spellStart"/>
            <w:r w:rsidRPr="000A6D27">
              <w:rPr>
                <w:rFonts w:cs="Arial"/>
                <w:sz w:val="20"/>
                <w:szCs w:val="20"/>
              </w:rPr>
              <w:t>kta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>Prekoračenje 1-60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61-180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181-360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preko 360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Nedospjela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630.778,27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630.778,27</w:t>
            </w: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materijalne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190.393,48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  <w:r w:rsidR="002E4366">
              <w:rPr>
                <w:rFonts w:cs="Arial"/>
                <w:sz w:val="20"/>
                <w:szCs w:val="20"/>
              </w:rPr>
              <w:t>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Default="00B63965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185.895</w:t>
            </w:r>
          </w:p>
          <w:p w:rsidR="00B63965" w:rsidRPr="000A6D27" w:rsidRDefault="00B63965" w:rsidP="000A6D2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financijske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1684,08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1684</w:t>
            </w:r>
          </w:p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2E4366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Ostale tekuće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29.193,15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="002E4366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  <w:p w:rsidR="002E4366" w:rsidRPr="000A6D27" w:rsidRDefault="002E4366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77" w:rsidRDefault="00E7297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E72977" w:rsidRPr="000A6D27" w:rsidRDefault="00796A45" w:rsidP="00E7297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6A45">
              <w:rPr>
                <w:rFonts w:cs="Arial"/>
                <w:b/>
                <w:bCs/>
                <w:sz w:val="20"/>
                <w:szCs w:val="20"/>
              </w:rPr>
              <w:t>8644,88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0A6D27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20.527</w:t>
            </w:r>
          </w:p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E7297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kredite i zajmove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829.678,08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829.678,08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UKUPNO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1.681.727,06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E72977" w:rsidP="00E7297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E72977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8.</w:t>
            </w:r>
            <w:r w:rsidR="00796A45">
              <w:rPr>
                <w:rFonts w:cs="Arial"/>
                <w:b/>
                <w:bCs/>
                <w:sz w:val="20"/>
                <w:szCs w:val="20"/>
              </w:rPr>
              <w:t>648,99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E72977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1.668.</w:t>
            </w:r>
            <w:r w:rsidR="00796A45">
              <w:rPr>
                <w:rFonts w:cs="Arial"/>
                <w:b/>
                <w:bCs/>
                <w:sz w:val="20"/>
                <w:szCs w:val="20"/>
              </w:rPr>
              <w:t>562</w:t>
            </w:r>
          </w:p>
        </w:tc>
      </w:tr>
    </w:tbl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BB5A65">
        <w:t>31.</w:t>
      </w:r>
      <w:r w:rsidR="0010620A">
        <w:t>01.20</w:t>
      </w:r>
      <w:r w:rsidR="00796A45">
        <w:t>20.</w:t>
      </w:r>
      <w:r w:rsidRPr="0081640D">
        <w:t xml:space="preserve">. 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Petrović,prof.</w:t>
      </w:r>
    </w:p>
    <w:p w:rsidR="002B63AC" w:rsidRPr="009F34A7" w:rsidRDefault="002B63AC" w:rsidP="002B63AC"/>
    <w:sectPr w:rsidR="002B63AC" w:rsidRPr="009F34A7" w:rsidSect="000A6D27">
      <w:pgSz w:w="12240" w:h="15840"/>
      <w:pgMar w:top="1135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C"/>
    <w:rsid w:val="00003B43"/>
    <w:rsid w:val="000048CE"/>
    <w:rsid w:val="000060FD"/>
    <w:rsid w:val="000108B7"/>
    <w:rsid w:val="000261E0"/>
    <w:rsid w:val="000335AF"/>
    <w:rsid w:val="00034851"/>
    <w:rsid w:val="00046DAD"/>
    <w:rsid w:val="00060907"/>
    <w:rsid w:val="000616B1"/>
    <w:rsid w:val="000656E0"/>
    <w:rsid w:val="000821AB"/>
    <w:rsid w:val="00083EBE"/>
    <w:rsid w:val="000A6D27"/>
    <w:rsid w:val="000B12AC"/>
    <w:rsid w:val="000C49BC"/>
    <w:rsid w:val="000D63E2"/>
    <w:rsid w:val="0010620A"/>
    <w:rsid w:val="00113FE9"/>
    <w:rsid w:val="00116123"/>
    <w:rsid w:val="00121356"/>
    <w:rsid w:val="00126FEC"/>
    <w:rsid w:val="00127A82"/>
    <w:rsid w:val="00153FF3"/>
    <w:rsid w:val="001547E7"/>
    <w:rsid w:val="001610C1"/>
    <w:rsid w:val="00164C05"/>
    <w:rsid w:val="001B0925"/>
    <w:rsid w:val="001B5802"/>
    <w:rsid w:val="001C00B7"/>
    <w:rsid w:val="001D2311"/>
    <w:rsid w:val="001E094B"/>
    <w:rsid w:val="001E2D98"/>
    <w:rsid w:val="001E7314"/>
    <w:rsid w:val="001F4D53"/>
    <w:rsid w:val="0021249E"/>
    <w:rsid w:val="00216669"/>
    <w:rsid w:val="00224773"/>
    <w:rsid w:val="00230BB7"/>
    <w:rsid w:val="00230CAD"/>
    <w:rsid w:val="0024368F"/>
    <w:rsid w:val="002525A0"/>
    <w:rsid w:val="002A658D"/>
    <w:rsid w:val="002A754C"/>
    <w:rsid w:val="002B63AC"/>
    <w:rsid w:val="002E3AC0"/>
    <w:rsid w:val="002E4366"/>
    <w:rsid w:val="00315B7A"/>
    <w:rsid w:val="00317927"/>
    <w:rsid w:val="003227AB"/>
    <w:rsid w:val="0033116B"/>
    <w:rsid w:val="00333151"/>
    <w:rsid w:val="003374DE"/>
    <w:rsid w:val="00345F57"/>
    <w:rsid w:val="0035022F"/>
    <w:rsid w:val="00351CB2"/>
    <w:rsid w:val="003520C8"/>
    <w:rsid w:val="00361BBE"/>
    <w:rsid w:val="00371912"/>
    <w:rsid w:val="0037631A"/>
    <w:rsid w:val="00384136"/>
    <w:rsid w:val="003A384D"/>
    <w:rsid w:val="003C1856"/>
    <w:rsid w:val="003D0CEE"/>
    <w:rsid w:val="003D1D0C"/>
    <w:rsid w:val="003D3D8A"/>
    <w:rsid w:val="003D53D0"/>
    <w:rsid w:val="003E13DF"/>
    <w:rsid w:val="00405456"/>
    <w:rsid w:val="004373A1"/>
    <w:rsid w:val="0044318F"/>
    <w:rsid w:val="00443E6E"/>
    <w:rsid w:val="00463629"/>
    <w:rsid w:val="0048322B"/>
    <w:rsid w:val="00484EE5"/>
    <w:rsid w:val="004C27A1"/>
    <w:rsid w:val="004D0A4F"/>
    <w:rsid w:val="004D3F65"/>
    <w:rsid w:val="004F1ED8"/>
    <w:rsid w:val="004F3224"/>
    <w:rsid w:val="005004B9"/>
    <w:rsid w:val="005077A5"/>
    <w:rsid w:val="005619F5"/>
    <w:rsid w:val="00562354"/>
    <w:rsid w:val="005760ED"/>
    <w:rsid w:val="005A5104"/>
    <w:rsid w:val="005A5940"/>
    <w:rsid w:val="005A76D1"/>
    <w:rsid w:val="005B5600"/>
    <w:rsid w:val="005D0258"/>
    <w:rsid w:val="00610FFE"/>
    <w:rsid w:val="00614146"/>
    <w:rsid w:val="00614811"/>
    <w:rsid w:val="00625581"/>
    <w:rsid w:val="00632D35"/>
    <w:rsid w:val="006412D9"/>
    <w:rsid w:val="00646D58"/>
    <w:rsid w:val="0064758A"/>
    <w:rsid w:val="00666711"/>
    <w:rsid w:val="00684E42"/>
    <w:rsid w:val="00693A5A"/>
    <w:rsid w:val="006A2EF7"/>
    <w:rsid w:val="006B1468"/>
    <w:rsid w:val="006D2EDF"/>
    <w:rsid w:val="006E7BAD"/>
    <w:rsid w:val="007005D4"/>
    <w:rsid w:val="007157B2"/>
    <w:rsid w:val="007165FA"/>
    <w:rsid w:val="00716A42"/>
    <w:rsid w:val="00720F74"/>
    <w:rsid w:val="007279F3"/>
    <w:rsid w:val="00734907"/>
    <w:rsid w:val="007432F0"/>
    <w:rsid w:val="0075151A"/>
    <w:rsid w:val="00762A0A"/>
    <w:rsid w:val="00771B03"/>
    <w:rsid w:val="00775097"/>
    <w:rsid w:val="00776E19"/>
    <w:rsid w:val="00791DF0"/>
    <w:rsid w:val="00796A45"/>
    <w:rsid w:val="007A3F34"/>
    <w:rsid w:val="007A5809"/>
    <w:rsid w:val="007F5175"/>
    <w:rsid w:val="00806D3F"/>
    <w:rsid w:val="00811CAA"/>
    <w:rsid w:val="00812A40"/>
    <w:rsid w:val="0081640D"/>
    <w:rsid w:val="008371E2"/>
    <w:rsid w:val="00861572"/>
    <w:rsid w:val="008618D3"/>
    <w:rsid w:val="008827AA"/>
    <w:rsid w:val="00884245"/>
    <w:rsid w:val="00892C44"/>
    <w:rsid w:val="008C3500"/>
    <w:rsid w:val="008C72CA"/>
    <w:rsid w:val="008D6DD1"/>
    <w:rsid w:val="008F4942"/>
    <w:rsid w:val="009204CB"/>
    <w:rsid w:val="00926562"/>
    <w:rsid w:val="0094702E"/>
    <w:rsid w:val="009519D4"/>
    <w:rsid w:val="009754EC"/>
    <w:rsid w:val="009765E2"/>
    <w:rsid w:val="009949D1"/>
    <w:rsid w:val="009A0630"/>
    <w:rsid w:val="009A2145"/>
    <w:rsid w:val="009F34A7"/>
    <w:rsid w:val="00A05936"/>
    <w:rsid w:val="00A205A7"/>
    <w:rsid w:val="00A305BB"/>
    <w:rsid w:val="00A5260C"/>
    <w:rsid w:val="00A569C9"/>
    <w:rsid w:val="00A5748E"/>
    <w:rsid w:val="00A724FC"/>
    <w:rsid w:val="00A962EF"/>
    <w:rsid w:val="00A97548"/>
    <w:rsid w:val="00AD0B08"/>
    <w:rsid w:val="00B21C7A"/>
    <w:rsid w:val="00B47B34"/>
    <w:rsid w:val="00B63965"/>
    <w:rsid w:val="00B63D1C"/>
    <w:rsid w:val="00B71F60"/>
    <w:rsid w:val="00B8365D"/>
    <w:rsid w:val="00B8675F"/>
    <w:rsid w:val="00B93ECB"/>
    <w:rsid w:val="00BB4211"/>
    <w:rsid w:val="00BB5A65"/>
    <w:rsid w:val="00BD65C4"/>
    <w:rsid w:val="00BF600F"/>
    <w:rsid w:val="00C365C9"/>
    <w:rsid w:val="00C40B29"/>
    <w:rsid w:val="00C54CDF"/>
    <w:rsid w:val="00C6702B"/>
    <w:rsid w:val="00C861FF"/>
    <w:rsid w:val="00C90603"/>
    <w:rsid w:val="00CA5745"/>
    <w:rsid w:val="00CA6963"/>
    <w:rsid w:val="00CA7EE9"/>
    <w:rsid w:val="00CB1B10"/>
    <w:rsid w:val="00CB3936"/>
    <w:rsid w:val="00CB3951"/>
    <w:rsid w:val="00CE131E"/>
    <w:rsid w:val="00D1252C"/>
    <w:rsid w:val="00D30A0B"/>
    <w:rsid w:val="00D34FD0"/>
    <w:rsid w:val="00D46464"/>
    <w:rsid w:val="00D52F9F"/>
    <w:rsid w:val="00D549DA"/>
    <w:rsid w:val="00D763D6"/>
    <w:rsid w:val="00DB02BC"/>
    <w:rsid w:val="00DB7D3E"/>
    <w:rsid w:val="00DC4EAE"/>
    <w:rsid w:val="00DD004F"/>
    <w:rsid w:val="00DD4CC5"/>
    <w:rsid w:val="00DE64EA"/>
    <w:rsid w:val="00DF04AC"/>
    <w:rsid w:val="00E01356"/>
    <w:rsid w:val="00E0206A"/>
    <w:rsid w:val="00E12470"/>
    <w:rsid w:val="00E263E6"/>
    <w:rsid w:val="00E314A0"/>
    <w:rsid w:val="00E63C47"/>
    <w:rsid w:val="00E64801"/>
    <w:rsid w:val="00E72977"/>
    <w:rsid w:val="00E763B6"/>
    <w:rsid w:val="00E93ECE"/>
    <w:rsid w:val="00E95EBC"/>
    <w:rsid w:val="00EE7C68"/>
    <w:rsid w:val="00EF03DC"/>
    <w:rsid w:val="00F11497"/>
    <w:rsid w:val="00F46352"/>
    <w:rsid w:val="00F50A9A"/>
    <w:rsid w:val="00F55760"/>
    <w:rsid w:val="00F83D5E"/>
    <w:rsid w:val="00FC41A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E872-10DE-4E59-88FA-2B3862EF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8266-41D9-41B8-B420-F706DC7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Ivan Galić</cp:lastModifiedBy>
  <cp:revision>2</cp:revision>
  <cp:lastPrinted>2020-01-31T11:59:00Z</cp:lastPrinted>
  <dcterms:created xsi:type="dcterms:W3CDTF">2020-01-31T12:09:00Z</dcterms:created>
  <dcterms:modified xsi:type="dcterms:W3CDTF">2020-01-31T12:09:00Z</dcterms:modified>
</cp:coreProperties>
</file>