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AD" w:rsidRPr="0081640D" w:rsidRDefault="00046DAD" w:rsidP="00046DAD">
      <w:r w:rsidRPr="0081640D">
        <w:t>OŠ STJEPANA KEFELJE</w:t>
      </w:r>
      <w:r w:rsidRPr="0081640D">
        <w:tab/>
      </w:r>
      <w:r w:rsidRPr="0081640D">
        <w:tab/>
      </w:r>
      <w:r w:rsidRPr="0081640D">
        <w:tab/>
      </w:r>
      <w:r w:rsidRPr="0081640D">
        <w:tab/>
        <w:t>Razina:</w:t>
      </w:r>
      <w:r w:rsidRPr="0081640D">
        <w:tab/>
      </w:r>
      <w:r w:rsidRPr="0081640D">
        <w:tab/>
        <w:t xml:space="preserve">         31</w:t>
      </w:r>
    </w:p>
    <w:p w:rsidR="00046DAD" w:rsidRPr="0081640D" w:rsidRDefault="00046DAD" w:rsidP="00046DAD">
      <w:r w:rsidRPr="0081640D">
        <w:t>44320   KUTINA</w:t>
      </w:r>
      <w:r w:rsidRPr="0081640D">
        <w:tab/>
      </w:r>
      <w:r w:rsidRPr="0081640D">
        <w:tab/>
      </w:r>
      <w:r w:rsidRPr="0081640D">
        <w:tab/>
      </w:r>
      <w:r w:rsidRPr="0081640D">
        <w:tab/>
      </w:r>
      <w:r w:rsidRPr="0081640D">
        <w:tab/>
        <w:t>Razdjel:</w:t>
      </w:r>
      <w:r w:rsidRPr="0081640D">
        <w:tab/>
      </w:r>
      <w:r w:rsidRPr="0081640D">
        <w:tab/>
        <w:t xml:space="preserve">           0</w:t>
      </w:r>
    </w:p>
    <w:p w:rsidR="00046DAD" w:rsidRPr="0081640D" w:rsidRDefault="00046DAD" w:rsidP="00046DAD">
      <w:r w:rsidRPr="0081640D">
        <w:tab/>
      </w:r>
      <w:r w:rsidRPr="0081640D">
        <w:tab/>
      </w:r>
      <w:r w:rsidRPr="0081640D">
        <w:tab/>
      </w:r>
      <w:r w:rsidRPr="0081640D">
        <w:tab/>
      </w:r>
      <w:r w:rsidRPr="0081640D">
        <w:tab/>
      </w:r>
      <w:r w:rsidRPr="0081640D">
        <w:tab/>
      </w:r>
      <w:r w:rsidRPr="0081640D">
        <w:tab/>
        <w:t>RKP:</w:t>
      </w:r>
      <w:r w:rsidRPr="0081640D">
        <w:tab/>
      </w:r>
      <w:r w:rsidRPr="0081640D">
        <w:tab/>
        <w:t xml:space="preserve">              15920</w:t>
      </w:r>
    </w:p>
    <w:p w:rsidR="00046DAD" w:rsidRPr="0081640D" w:rsidRDefault="00046DAD" w:rsidP="00046DAD">
      <w:r w:rsidRPr="0081640D">
        <w:t>MB:</w:t>
      </w:r>
      <w:r w:rsidRPr="0081640D">
        <w:tab/>
      </w:r>
      <w:r w:rsidRPr="0081640D">
        <w:tab/>
        <w:t xml:space="preserve">     03319059</w:t>
      </w:r>
      <w:r w:rsidRPr="0081640D">
        <w:tab/>
      </w:r>
      <w:r w:rsidRPr="0081640D">
        <w:tab/>
      </w:r>
      <w:r w:rsidRPr="0081640D">
        <w:tab/>
      </w:r>
      <w:r w:rsidRPr="0081640D">
        <w:tab/>
        <w:t>Šifra županije:</w:t>
      </w:r>
      <w:r w:rsidRPr="0081640D">
        <w:tab/>
        <w:t xml:space="preserve">           3</w:t>
      </w:r>
    </w:p>
    <w:p w:rsidR="00046DAD" w:rsidRPr="0081640D" w:rsidRDefault="00046DAD" w:rsidP="00046DAD">
      <w:r w:rsidRPr="0081640D">
        <w:t xml:space="preserve">Šifra djelatnosti:     </w:t>
      </w:r>
      <w:r w:rsidRPr="0081640D">
        <w:tab/>
        <w:t xml:space="preserve">  8520</w:t>
      </w:r>
      <w:r w:rsidRPr="0081640D">
        <w:tab/>
      </w:r>
      <w:r w:rsidRPr="0081640D">
        <w:tab/>
      </w:r>
      <w:r w:rsidRPr="0081640D">
        <w:tab/>
        <w:t xml:space="preserve">           Šifra općine:</w:t>
      </w:r>
      <w:r w:rsidRPr="0081640D">
        <w:tab/>
        <w:t xml:space="preserve">                  220</w:t>
      </w:r>
    </w:p>
    <w:p w:rsidR="00046DAD" w:rsidRDefault="00046DAD" w:rsidP="00046DAD">
      <w:r w:rsidRPr="0081640D">
        <w:t>Razdoblje:            20</w:t>
      </w:r>
      <w:r w:rsidR="007373F4">
        <w:t>2</w:t>
      </w:r>
      <w:r w:rsidR="00E44D0B">
        <w:t>2</w:t>
      </w:r>
      <w:r w:rsidRPr="0081640D">
        <w:t>-12                                OIB                  98618221938</w:t>
      </w:r>
    </w:p>
    <w:p w:rsidR="000B59A2" w:rsidRDefault="000B59A2" w:rsidP="00046DAD"/>
    <w:p w:rsidR="000B59A2" w:rsidRPr="0081640D" w:rsidRDefault="000B59A2" w:rsidP="000B59A2">
      <w:pPr>
        <w:ind w:left="1985"/>
        <w:jc w:val="both"/>
      </w:pPr>
    </w:p>
    <w:p w:rsidR="00046DAD" w:rsidRPr="0081640D" w:rsidRDefault="00046DAD" w:rsidP="00046DAD">
      <w:pPr>
        <w:jc w:val="center"/>
        <w:rPr>
          <w:b/>
        </w:rPr>
      </w:pPr>
    </w:p>
    <w:p w:rsidR="00046DAD" w:rsidRPr="0081640D" w:rsidRDefault="00046DAD" w:rsidP="00046DAD">
      <w:pPr>
        <w:jc w:val="center"/>
        <w:outlineLvl w:val="0"/>
        <w:rPr>
          <w:b/>
        </w:rPr>
      </w:pPr>
      <w:r w:rsidRPr="0081640D">
        <w:rPr>
          <w:b/>
        </w:rPr>
        <w:t>BILJEŠKE UZ FINANCIJSKE IZVJEŠTAJE</w:t>
      </w:r>
    </w:p>
    <w:p w:rsidR="00046DAD" w:rsidRDefault="00046DAD" w:rsidP="00046DAD">
      <w:pPr>
        <w:jc w:val="center"/>
        <w:outlineLvl w:val="0"/>
        <w:rPr>
          <w:b/>
        </w:rPr>
      </w:pPr>
      <w:r w:rsidRPr="0081640D">
        <w:rPr>
          <w:b/>
        </w:rPr>
        <w:t>za razdoblje od 1.siječnja do 31. prosinca 20</w:t>
      </w:r>
      <w:r w:rsidR="007373F4">
        <w:rPr>
          <w:b/>
        </w:rPr>
        <w:t>2</w:t>
      </w:r>
      <w:r w:rsidR="00E44D0B">
        <w:rPr>
          <w:b/>
        </w:rPr>
        <w:t>2</w:t>
      </w:r>
      <w:r w:rsidRPr="0081640D">
        <w:rPr>
          <w:b/>
        </w:rPr>
        <w:t>. godine</w:t>
      </w:r>
    </w:p>
    <w:p w:rsidR="005B5ED2" w:rsidRDefault="005B5ED2" w:rsidP="00836BB7">
      <w:pPr>
        <w:outlineLvl w:val="0"/>
        <w:rPr>
          <w:b/>
        </w:rPr>
      </w:pPr>
    </w:p>
    <w:p w:rsidR="005B5ED2" w:rsidRDefault="005B5ED2" w:rsidP="00836BB7">
      <w:pPr>
        <w:outlineLvl w:val="0"/>
        <w:rPr>
          <w:b/>
        </w:rPr>
      </w:pPr>
    </w:p>
    <w:p w:rsidR="000B59A2" w:rsidRDefault="000B59A2" w:rsidP="00046DAD">
      <w:pPr>
        <w:jc w:val="center"/>
        <w:outlineLvl w:val="0"/>
        <w:rPr>
          <w:b/>
        </w:rPr>
      </w:pPr>
    </w:p>
    <w:p w:rsidR="00836BB7" w:rsidRDefault="00836BB7" w:rsidP="000B59A2">
      <w:pPr>
        <w:outlineLvl w:val="0"/>
      </w:pPr>
      <w:r w:rsidRPr="00836BB7">
        <w:t xml:space="preserve">Djelatnost OŠ Stjepana </w:t>
      </w:r>
      <w:proofErr w:type="spellStart"/>
      <w:r w:rsidRPr="00836BB7">
        <w:t>Kefelje</w:t>
      </w:r>
      <w:proofErr w:type="spellEnd"/>
      <w:r w:rsidRPr="00836BB7">
        <w:t xml:space="preserve"> je osnovno obrazovanje. Škola je proračunski korisnik Grada Kutine i </w:t>
      </w:r>
      <w:r>
        <w:t>od 1.1.2019. godine Škola nema svoj ŽR  već se poslovanje obavlja preko</w:t>
      </w:r>
      <w:r w:rsidRPr="00836BB7">
        <w:t xml:space="preserve"> jedinstvenog računa gradske riznice</w:t>
      </w:r>
      <w:r>
        <w:t xml:space="preserve">. Plaće i naknade isplaćuju se putem računa </w:t>
      </w:r>
    </w:p>
    <w:p w:rsidR="00836BB7" w:rsidRDefault="00836BB7" w:rsidP="000B59A2">
      <w:pPr>
        <w:outlineLvl w:val="0"/>
      </w:pPr>
      <w:r>
        <w:t>Državne riznice u okviru Ministarstva znanosti i obrazovanja.</w:t>
      </w:r>
    </w:p>
    <w:p w:rsidR="009C0E5F" w:rsidRDefault="009C0E5F" w:rsidP="000B59A2">
      <w:pPr>
        <w:outlineLvl w:val="0"/>
      </w:pPr>
      <w:r>
        <w:t>Uz osnovnu djelatnost obrazovanja, Škola ostvaruje vlastite prihode od iznajmljivanja prostora, stanarine i</w:t>
      </w:r>
      <w:r w:rsidR="00BC1F3C">
        <w:t xml:space="preserve"> zaključno s  </w:t>
      </w:r>
      <w:proofErr w:type="spellStart"/>
      <w:r w:rsidR="00BC1F3C">
        <w:t>lipnjom</w:t>
      </w:r>
      <w:proofErr w:type="spellEnd"/>
      <w:r w:rsidR="00BC1F3C">
        <w:t xml:space="preserve"> 2022. godine</w:t>
      </w:r>
      <w:r>
        <w:t xml:space="preserve"> otplate stana.</w:t>
      </w:r>
    </w:p>
    <w:p w:rsidR="009C0E5F" w:rsidRDefault="009C0E5F" w:rsidP="000B59A2">
      <w:pPr>
        <w:outlineLvl w:val="0"/>
      </w:pPr>
      <w:r>
        <w:t>U sklopu redovne djelatnosti organizirana je prehrana u školskoj kuhinji te produženi boravak učenika i rad pomoćnika u nastavi. Plaće za učiteljicu u produženom boravku i za pomoćnike u nastavi isplaćuju se putem gradske riznice, a na teret paušala od roditelja (</w:t>
      </w:r>
      <w:r w:rsidR="00BC1F3C">
        <w:t>3</w:t>
      </w:r>
      <w:r>
        <w:t>00 kn po djetetu) i ostatak od Grada iz sredstava komunalne naknade.</w:t>
      </w:r>
    </w:p>
    <w:p w:rsidR="009C0E5F" w:rsidRDefault="009C0E5F" w:rsidP="000B59A2">
      <w:pPr>
        <w:outlineLvl w:val="0"/>
      </w:pPr>
      <w:r>
        <w:t xml:space="preserve">Plaće pomoćnika u nastavi terete sredstva Pomoći unutar projekta </w:t>
      </w:r>
      <w:r w:rsidR="003E10C8">
        <w:t>EU i 10% na teret Grada također iz sredstava komunalne naknade.</w:t>
      </w:r>
    </w:p>
    <w:p w:rsidR="003E10C8" w:rsidRDefault="003E10C8" w:rsidP="000B59A2">
      <w:pPr>
        <w:outlineLvl w:val="0"/>
      </w:pPr>
      <w:r>
        <w:t>Prehranu učenika jednim dijelom financiraju roditelji, a jedan dio također financira Grad iz sredstava komunalne naknade, a u okviru projekta Grad prijatelj djece.</w:t>
      </w:r>
    </w:p>
    <w:p w:rsidR="003E10C8" w:rsidRDefault="003E10C8" w:rsidP="000B59A2">
      <w:pPr>
        <w:outlineLvl w:val="0"/>
      </w:pPr>
      <w:r>
        <w:t>Prehranu velikog broja djece financira se iz sredstava pomoći u okviru projekta Osiguranje školske prehrane najpotrebitijima. Iz projekta se financira 5,</w:t>
      </w:r>
      <w:r w:rsidR="00E83220">
        <w:t>47</w:t>
      </w:r>
      <w:r>
        <w:t xml:space="preserve"> kn po</w:t>
      </w:r>
      <w:r w:rsidR="00BC1F3C">
        <w:t xml:space="preserve"> isključivo hladnom</w:t>
      </w:r>
      <w:r>
        <w:t xml:space="preserve"> obroku a razliku do pune cijene obroka (3,</w:t>
      </w:r>
      <w:r w:rsidR="00E83220">
        <w:t>53kn</w:t>
      </w:r>
      <w:r>
        <w:t>)</w:t>
      </w:r>
      <w:r w:rsidR="00E83220">
        <w:t xml:space="preserve"> namiruje Grad također iz sredstava komunalne naknade u okviru Aktivnosti Socijalna skrb.</w:t>
      </w:r>
    </w:p>
    <w:p w:rsidR="00D742D5" w:rsidRDefault="00D742D5" w:rsidP="000B59A2">
      <w:pPr>
        <w:outlineLvl w:val="0"/>
      </w:pPr>
    </w:p>
    <w:p w:rsidR="000B59A2" w:rsidRPr="00836BB7" w:rsidRDefault="000B59A2" w:rsidP="000B59A2">
      <w:pPr>
        <w:outlineLvl w:val="0"/>
      </w:pPr>
      <w:r w:rsidRPr="00836BB7">
        <w:tab/>
      </w:r>
      <w:r w:rsidRPr="00836BB7">
        <w:tab/>
      </w:r>
      <w:r w:rsidR="00836BB7" w:rsidRPr="00836BB7">
        <w:tab/>
      </w:r>
    </w:p>
    <w:p w:rsidR="00DF04AC" w:rsidRDefault="00DF04AC"/>
    <w:p w:rsidR="00CA7EE9" w:rsidRDefault="00CA7EE9" w:rsidP="009665C7">
      <w:pPr>
        <w:rPr>
          <w:b/>
        </w:rPr>
      </w:pPr>
      <w:r w:rsidRPr="0081640D">
        <w:rPr>
          <w:b/>
        </w:rPr>
        <w:t>BILJEŠKE UZ BILANCU</w:t>
      </w:r>
    </w:p>
    <w:p w:rsidR="00757C8B" w:rsidRDefault="00757C8B" w:rsidP="009665C7">
      <w:pPr>
        <w:rPr>
          <w:b/>
        </w:rPr>
      </w:pPr>
    </w:p>
    <w:p w:rsidR="00757C8B" w:rsidRDefault="00757C8B" w:rsidP="009665C7">
      <w:pPr>
        <w:rPr>
          <w:b/>
        </w:rPr>
      </w:pPr>
    </w:p>
    <w:p w:rsidR="003D1D0C" w:rsidRPr="0081640D" w:rsidRDefault="003D1D0C" w:rsidP="007A3F34">
      <w:pPr>
        <w:jc w:val="center"/>
        <w:rPr>
          <w:b/>
        </w:rPr>
      </w:pPr>
    </w:p>
    <w:p w:rsidR="003D1D0C" w:rsidRDefault="00A05936" w:rsidP="003D1D0C">
      <w:pPr>
        <w:jc w:val="both"/>
      </w:pPr>
      <w:r>
        <w:rPr>
          <w:i/>
        </w:rPr>
        <w:t>1.</w:t>
      </w:r>
    </w:p>
    <w:p w:rsidR="00484EE5" w:rsidRPr="00786042" w:rsidRDefault="00484EE5" w:rsidP="00757C8B">
      <w:pPr>
        <w:pStyle w:val="Odlomakpopisa"/>
        <w:ind w:left="1210"/>
        <w:jc w:val="both"/>
        <w:rPr>
          <w:b/>
        </w:rPr>
      </w:pPr>
      <w:r w:rsidRPr="00786042">
        <w:rPr>
          <w:b/>
        </w:rPr>
        <w:t>Popis ugovornih odnosa</w:t>
      </w:r>
    </w:p>
    <w:p w:rsidR="00484EE5" w:rsidRDefault="003D1D0C" w:rsidP="00D742D5">
      <w:pPr>
        <w:ind w:left="585"/>
        <w:jc w:val="both"/>
      </w:pPr>
      <w:r>
        <w:t xml:space="preserve"> </w:t>
      </w:r>
      <w:r w:rsidR="007373F4">
        <w:t xml:space="preserve"> </w:t>
      </w:r>
    </w:p>
    <w:tbl>
      <w:tblPr>
        <w:tblW w:w="15551" w:type="dxa"/>
        <w:tblInd w:w="-431" w:type="dxa"/>
        <w:tblLook w:val="04A0" w:firstRow="1" w:lastRow="0" w:firstColumn="1" w:lastColumn="0" w:noHBand="0" w:noVBand="1"/>
      </w:tblPr>
      <w:tblGrid>
        <w:gridCol w:w="915"/>
        <w:gridCol w:w="1364"/>
        <w:gridCol w:w="2925"/>
        <w:gridCol w:w="567"/>
        <w:gridCol w:w="1275"/>
        <w:gridCol w:w="1396"/>
        <w:gridCol w:w="3769"/>
        <w:gridCol w:w="1440"/>
        <w:gridCol w:w="1900"/>
      </w:tblGrid>
      <w:tr w:rsidR="004A5E3F" w:rsidRPr="00D742D5" w:rsidTr="00D742D5">
        <w:trPr>
          <w:trHeight w:val="585"/>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2D5" w:rsidRPr="00D742D5" w:rsidRDefault="00D742D5" w:rsidP="00D742D5">
            <w:pPr>
              <w:rPr>
                <w:rFonts w:ascii="Calibri" w:hAnsi="Calibri" w:cs="Calibri"/>
                <w:color w:val="000000"/>
                <w:sz w:val="22"/>
                <w:szCs w:val="22"/>
              </w:rPr>
            </w:pPr>
            <w:r w:rsidRPr="00D742D5">
              <w:rPr>
                <w:rFonts w:ascii="Calibri" w:hAnsi="Calibri" w:cs="Calibri"/>
                <w:color w:val="000000"/>
                <w:sz w:val="22"/>
                <w:szCs w:val="22"/>
              </w:rPr>
              <w:t>991210 Dana jamstva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742D5" w:rsidRPr="00D742D5" w:rsidRDefault="00D742D5" w:rsidP="00D742D5">
            <w:pPr>
              <w:rPr>
                <w:rFonts w:ascii="Calibri" w:hAnsi="Calibri" w:cs="Calibri"/>
                <w:color w:val="000000"/>
                <w:sz w:val="22"/>
                <w:szCs w:val="22"/>
              </w:rPr>
            </w:pPr>
            <w:r w:rsidRPr="00D742D5">
              <w:rPr>
                <w:rFonts w:ascii="Calibri" w:hAnsi="Calibri" w:cs="Calibri"/>
                <w:color w:val="000000"/>
                <w:sz w:val="22"/>
                <w:szCs w:val="22"/>
              </w:rPr>
              <w:t>996210 Dana jamstva</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D742D5" w:rsidRPr="00D742D5" w:rsidRDefault="00D742D5" w:rsidP="00D742D5">
            <w:pPr>
              <w:rPr>
                <w:rFonts w:ascii="Calibri" w:hAnsi="Calibri" w:cs="Calibri"/>
                <w:color w:val="000000"/>
                <w:sz w:val="22"/>
                <w:szCs w:val="22"/>
              </w:rPr>
            </w:pPr>
            <w:r w:rsidRPr="00D742D5">
              <w:rPr>
                <w:rFonts w:ascii="Calibri" w:hAnsi="Calibri" w:cs="Calibri"/>
                <w:color w:val="000000"/>
                <w:sz w:val="22"/>
                <w:szCs w:val="22"/>
              </w:rPr>
              <w:t xml:space="preserve">Garancija za otklanjanje nedostataka energetske </w:t>
            </w:r>
            <w:r w:rsidR="004A5E3F">
              <w:rPr>
                <w:rFonts w:ascii="Calibri" w:hAnsi="Calibri" w:cs="Calibri"/>
                <w:color w:val="000000"/>
                <w:sz w:val="22"/>
                <w:szCs w:val="22"/>
              </w:rPr>
              <w:t xml:space="preserve">obnove </w:t>
            </w:r>
            <w:proofErr w:type="spellStart"/>
            <w:r w:rsidRPr="00D742D5">
              <w:rPr>
                <w:rFonts w:ascii="Calibri" w:hAnsi="Calibri" w:cs="Calibri"/>
                <w:color w:val="000000"/>
                <w:sz w:val="22"/>
                <w:szCs w:val="22"/>
              </w:rPr>
              <w:t>Slukom</w:t>
            </w:r>
            <w:proofErr w:type="spellEnd"/>
            <w:r w:rsidRPr="00D742D5">
              <w:rPr>
                <w:rFonts w:ascii="Calibri" w:hAnsi="Calibri" w:cs="Calibri"/>
                <w:color w:val="000000"/>
                <w:sz w:val="22"/>
                <w:szCs w:val="22"/>
              </w:rPr>
              <w:t xml:space="preserve"> )važi do 2.1.2024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2D5" w:rsidRPr="00D742D5" w:rsidRDefault="00D742D5" w:rsidP="00D742D5">
            <w:pPr>
              <w:jc w:val="right"/>
              <w:rPr>
                <w:rFonts w:ascii="Calibri" w:hAnsi="Calibri" w:cs="Calibri"/>
                <w:color w:val="000000"/>
                <w:sz w:val="22"/>
                <w:szCs w:val="22"/>
              </w:rPr>
            </w:pPr>
            <w:r w:rsidRPr="00D742D5">
              <w:rPr>
                <w:rFonts w:ascii="Calibri" w:hAnsi="Calibri" w:cs="Calibri"/>
                <w:color w:val="000000"/>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742D5" w:rsidRPr="00D742D5" w:rsidRDefault="00D742D5" w:rsidP="00D742D5">
            <w:pPr>
              <w:jc w:val="right"/>
              <w:rPr>
                <w:rFonts w:ascii="Calibri" w:hAnsi="Calibri" w:cs="Calibri"/>
                <w:color w:val="000000"/>
                <w:sz w:val="22"/>
                <w:szCs w:val="22"/>
              </w:rPr>
            </w:pPr>
            <w:r w:rsidRPr="00D742D5">
              <w:rPr>
                <w:rFonts w:ascii="Calibri" w:hAnsi="Calibri" w:cs="Calibri"/>
                <w:color w:val="000000"/>
                <w:sz w:val="22"/>
                <w:szCs w:val="22"/>
              </w:rPr>
              <w:t>574.656,84</w:t>
            </w:r>
          </w:p>
        </w:tc>
        <w:tc>
          <w:tcPr>
            <w:tcW w:w="1418" w:type="dxa"/>
            <w:tcBorders>
              <w:top w:val="single" w:sz="4" w:space="0" w:color="auto"/>
              <w:left w:val="nil"/>
              <w:bottom w:val="single" w:sz="4" w:space="0" w:color="auto"/>
              <w:right w:val="single" w:sz="4" w:space="0" w:color="auto"/>
            </w:tcBorders>
            <w:shd w:val="clear" w:color="auto" w:fill="auto"/>
            <w:vAlign w:val="bottom"/>
          </w:tcPr>
          <w:p w:rsidR="00D742D5" w:rsidRPr="00D742D5" w:rsidRDefault="00D742D5" w:rsidP="00D742D5">
            <w:pPr>
              <w:jc w:val="right"/>
              <w:rPr>
                <w:rFonts w:ascii="Calibri" w:hAnsi="Calibri" w:cs="Calibri"/>
                <w:color w:val="000000"/>
                <w:sz w:val="22"/>
                <w:szCs w:val="22"/>
              </w:rPr>
            </w:pPr>
            <w:r>
              <w:rPr>
                <w:rFonts w:ascii="Calibri" w:hAnsi="Calibri" w:cs="Calibri"/>
                <w:color w:val="000000"/>
                <w:sz w:val="22"/>
                <w:szCs w:val="22"/>
              </w:rPr>
              <w:t>574.656,84</w:t>
            </w:r>
          </w:p>
        </w:tc>
        <w:tc>
          <w:tcPr>
            <w:tcW w:w="4130" w:type="dxa"/>
            <w:tcBorders>
              <w:top w:val="single" w:sz="4" w:space="0" w:color="auto"/>
              <w:left w:val="nil"/>
              <w:bottom w:val="single" w:sz="4" w:space="0" w:color="auto"/>
              <w:right w:val="single" w:sz="4" w:space="0" w:color="auto"/>
            </w:tcBorders>
            <w:shd w:val="clear" w:color="auto" w:fill="auto"/>
            <w:vAlign w:val="bottom"/>
          </w:tcPr>
          <w:p w:rsidR="00D742D5" w:rsidRPr="00D742D5" w:rsidRDefault="00D742D5" w:rsidP="004A5E3F">
            <w:pPr>
              <w:rPr>
                <w:rFonts w:ascii="Calibri" w:hAnsi="Calibri" w:cs="Calibri"/>
                <w:color w:val="000000"/>
                <w:sz w:val="22"/>
                <w:szCs w:val="22"/>
              </w:rPr>
            </w:pPr>
            <w:proofErr w:type="spellStart"/>
            <w:r>
              <w:rPr>
                <w:rFonts w:ascii="Calibri" w:hAnsi="Calibri" w:cs="Calibri"/>
                <w:color w:val="000000"/>
                <w:sz w:val="22"/>
                <w:szCs w:val="22"/>
              </w:rPr>
              <w:t>S</w:t>
            </w:r>
            <w:r w:rsidR="004A5E3F">
              <w:rPr>
                <w:rFonts w:ascii="Calibri" w:hAnsi="Calibri" w:cs="Calibri"/>
                <w:color w:val="000000"/>
                <w:sz w:val="22"/>
                <w:szCs w:val="22"/>
              </w:rPr>
              <w:t>lu</w:t>
            </w:r>
            <w:proofErr w:type="spellEnd"/>
            <w:r w:rsidR="004A5E3F">
              <w:rPr>
                <w:rFonts w:ascii="Calibri" w:hAnsi="Calibri" w:cs="Calibri"/>
                <w:color w:val="000000"/>
                <w:sz w:val="22"/>
                <w:szCs w:val="22"/>
              </w:rPr>
              <w:t>-Kom Kutina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742D5" w:rsidRPr="00D742D5" w:rsidRDefault="00D742D5" w:rsidP="00D742D5">
            <w:pPr>
              <w:jc w:val="right"/>
              <w:rPr>
                <w:rFonts w:ascii="Calibri" w:hAnsi="Calibri" w:cs="Calibri"/>
                <w:color w:val="000000"/>
                <w:sz w:val="22"/>
                <w:szCs w:val="22"/>
              </w:rPr>
            </w:pPr>
            <w:r w:rsidRPr="00D742D5">
              <w:rPr>
                <w:rFonts w:ascii="Calibri" w:hAnsi="Calibri" w:cs="Calibri"/>
                <w:color w:val="000000"/>
                <w:sz w:val="22"/>
                <w:szCs w:val="22"/>
              </w:rPr>
              <w:t>574.656,84</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742D5" w:rsidRPr="00D742D5" w:rsidRDefault="00D742D5" w:rsidP="00D742D5">
            <w:pPr>
              <w:jc w:val="center"/>
              <w:rPr>
                <w:rFonts w:ascii="Calibri" w:hAnsi="Calibri" w:cs="Calibri"/>
                <w:color w:val="000000"/>
                <w:sz w:val="22"/>
                <w:szCs w:val="22"/>
              </w:rPr>
            </w:pPr>
            <w:proofErr w:type="spellStart"/>
            <w:r w:rsidRPr="00D742D5">
              <w:rPr>
                <w:rFonts w:ascii="Calibri" w:hAnsi="Calibri" w:cs="Calibri"/>
                <w:color w:val="000000"/>
                <w:sz w:val="22"/>
                <w:szCs w:val="22"/>
              </w:rPr>
              <w:t>Slu</w:t>
            </w:r>
            <w:proofErr w:type="spellEnd"/>
            <w:r w:rsidRPr="00D742D5">
              <w:rPr>
                <w:rFonts w:ascii="Calibri" w:hAnsi="Calibri" w:cs="Calibri"/>
                <w:color w:val="000000"/>
                <w:sz w:val="22"/>
                <w:szCs w:val="22"/>
              </w:rPr>
              <w:t>-Kom</w:t>
            </w:r>
          </w:p>
        </w:tc>
      </w:tr>
    </w:tbl>
    <w:p w:rsidR="00D742D5" w:rsidRDefault="00D742D5" w:rsidP="00D742D5">
      <w:pPr>
        <w:ind w:left="585"/>
        <w:jc w:val="both"/>
      </w:pPr>
    </w:p>
    <w:p w:rsidR="00786042" w:rsidRDefault="00786042" w:rsidP="00D742D5">
      <w:pPr>
        <w:ind w:left="585"/>
        <w:jc w:val="both"/>
      </w:pPr>
    </w:p>
    <w:p w:rsidR="00786042" w:rsidRDefault="00786042" w:rsidP="00D742D5">
      <w:pPr>
        <w:ind w:left="585"/>
        <w:jc w:val="both"/>
      </w:pPr>
    </w:p>
    <w:p w:rsidR="009665C7" w:rsidRPr="00786042" w:rsidRDefault="00757C8B" w:rsidP="003D1D0C">
      <w:pPr>
        <w:jc w:val="both"/>
        <w:rPr>
          <w:b/>
        </w:rPr>
      </w:pPr>
      <w:r>
        <w:lastRenderedPageBreak/>
        <w:t xml:space="preserve">2.  </w:t>
      </w:r>
      <w:r w:rsidRPr="00786042">
        <w:rPr>
          <w:b/>
        </w:rPr>
        <w:t>Popis sudskih sporova</w:t>
      </w:r>
    </w:p>
    <w:p w:rsidR="00757C8B" w:rsidRPr="00786042" w:rsidRDefault="00757C8B" w:rsidP="003D1D0C">
      <w:pPr>
        <w:jc w:val="both"/>
        <w:rPr>
          <w:b/>
        </w:rPr>
      </w:pPr>
    </w:p>
    <w:p w:rsidR="00484EE5" w:rsidRDefault="00757C8B" w:rsidP="00757C8B">
      <w:pPr>
        <w:jc w:val="both"/>
      </w:pPr>
      <w:r>
        <w:t xml:space="preserve">Škola je u 2022. godini izvršila sve isplate po tužbama djelatnika </w:t>
      </w:r>
      <w:r w:rsidR="00403345">
        <w:t>i više nema sudskih sporova.</w:t>
      </w:r>
    </w:p>
    <w:p w:rsidR="00757C8B" w:rsidRDefault="00757C8B" w:rsidP="00757C8B">
      <w:pPr>
        <w:pStyle w:val="Odlomakpopisa"/>
        <w:ind w:left="945"/>
        <w:jc w:val="both"/>
      </w:pPr>
    </w:p>
    <w:p w:rsidR="00757C8B" w:rsidRDefault="00757C8B" w:rsidP="00757C8B">
      <w:pPr>
        <w:pStyle w:val="Odlomakpopisa"/>
        <w:ind w:left="945"/>
        <w:jc w:val="both"/>
      </w:pPr>
      <w:r>
        <w:t xml:space="preserve">Dio djelatnika je podnio </w:t>
      </w:r>
      <w:r w:rsidRPr="00A26AC5">
        <w:rPr>
          <w:b/>
        </w:rPr>
        <w:t>tužbu protiv Škole za neisplaćenu razlike plaće iz 2016</w:t>
      </w:r>
      <w:r>
        <w:t xml:space="preserve">. </w:t>
      </w:r>
      <w:r w:rsidRPr="00A26AC5">
        <w:rPr>
          <w:b/>
        </w:rPr>
        <w:t>i 2017. godine</w:t>
      </w:r>
      <w:r>
        <w:t xml:space="preserve">. Jedan manji dio sporova je riješen u 2021. godini, a sve preostale tužbe riješene su u toku 2022. godini (neto, doprinosi, porezi, kamate i sudski troškovi). Po izvršenim isplatama, iz vanbilančne imovine izvršeno je </w:t>
      </w:r>
      <w:proofErr w:type="spellStart"/>
      <w:r>
        <w:t>isknjiženje</w:t>
      </w:r>
      <w:proofErr w:type="spellEnd"/>
      <w:r>
        <w:t xml:space="preserve"> za sudske sporove</w:t>
      </w:r>
      <w:r w:rsidR="00403345">
        <w:t>.</w:t>
      </w:r>
    </w:p>
    <w:p w:rsidR="00757C8B" w:rsidRDefault="00757C8B" w:rsidP="00757C8B">
      <w:pPr>
        <w:jc w:val="both"/>
      </w:pPr>
    </w:p>
    <w:p w:rsidR="00757C8B" w:rsidRDefault="00757C8B" w:rsidP="0048328F">
      <w:pPr>
        <w:pStyle w:val="Odlomakpopisa"/>
        <w:ind w:left="945"/>
        <w:jc w:val="both"/>
      </w:pPr>
    </w:p>
    <w:p w:rsidR="00757C8B" w:rsidRDefault="00757C8B" w:rsidP="0048328F">
      <w:pPr>
        <w:pStyle w:val="Odlomakpopisa"/>
        <w:ind w:left="945"/>
        <w:jc w:val="both"/>
      </w:pPr>
    </w:p>
    <w:p w:rsidR="00757C8B" w:rsidRDefault="00757C8B" w:rsidP="0048328F">
      <w:pPr>
        <w:pStyle w:val="Odlomakpopisa"/>
        <w:ind w:left="945"/>
        <w:jc w:val="both"/>
      </w:pPr>
    </w:p>
    <w:p w:rsidR="00FE7ABA" w:rsidRDefault="00FE7ABA" w:rsidP="003D1D0C">
      <w:pPr>
        <w:jc w:val="both"/>
      </w:pPr>
    </w:p>
    <w:p w:rsidR="00CA7EE9" w:rsidRPr="00E331B6" w:rsidRDefault="001066AE" w:rsidP="003D1D0C">
      <w:pPr>
        <w:jc w:val="both"/>
        <w:rPr>
          <w:b/>
        </w:rPr>
      </w:pPr>
      <w:r>
        <w:rPr>
          <w:b/>
        </w:rPr>
        <w:t>3</w:t>
      </w:r>
      <w:r w:rsidR="00A05936" w:rsidRPr="00E331B6">
        <w:rPr>
          <w:b/>
        </w:rPr>
        <w:t>.</w:t>
      </w:r>
      <w:r w:rsidR="00403345">
        <w:rPr>
          <w:b/>
        </w:rPr>
        <w:t xml:space="preserve">    B</w:t>
      </w:r>
      <w:r w:rsidR="00CA7EE9" w:rsidRPr="00E331B6">
        <w:rPr>
          <w:b/>
        </w:rPr>
        <w:t xml:space="preserve"> 002 Nefinancijska imovina</w:t>
      </w:r>
    </w:p>
    <w:p w:rsidR="00E263E6" w:rsidRPr="00E331B6" w:rsidRDefault="00E263E6" w:rsidP="003D1D0C">
      <w:pPr>
        <w:jc w:val="both"/>
        <w:rPr>
          <w:b/>
        </w:rPr>
      </w:pPr>
    </w:p>
    <w:p w:rsidR="00351CB2" w:rsidRPr="00351CB2" w:rsidRDefault="00351CB2" w:rsidP="000108B7">
      <w:pPr>
        <w:pStyle w:val="Odlomakpopisa"/>
      </w:pPr>
    </w:p>
    <w:tbl>
      <w:tblPr>
        <w:tblStyle w:val="Reetkatablice"/>
        <w:tblW w:w="0" w:type="auto"/>
        <w:tblInd w:w="720" w:type="dxa"/>
        <w:tblLook w:val="04A0" w:firstRow="1" w:lastRow="0" w:firstColumn="1" w:lastColumn="0" w:noHBand="0" w:noVBand="1"/>
      </w:tblPr>
      <w:tblGrid>
        <w:gridCol w:w="2873"/>
        <w:gridCol w:w="2938"/>
        <w:gridCol w:w="2863"/>
      </w:tblGrid>
      <w:tr w:rsidR="005A09CD" w:rsidTr="005A09CD">
        <w:tc>
          <w:tcPr>
            <w:tcW w:w="3131" w:type="dxa"/>
          </w:tcPr>
          <w:p w:rsidR="005A09CD" w:rsidRDefault="005A09CD" w:rsidP="00811CAA">
            <w:pPr>
              <w:pStyle w:val="Odlomakpopisa"/>
              <w:ind w:left="0"/>
            </w:pPr>
            <w:r>
              <w:t>VRSTA IMOVINE</w:t>
            </w:r>
          </w:p>
        </w:tc>
        <w:tc>
          <w:tcPr>
            <w:tcW w:w="3131" w:type="dxa"/>
          </w:tcPr>
          <w:p w:rsidR="005A09CD" w:rsidRDefault="005A09CD" w:rsidP="00811CAA">
            <w:pPr>
              <w:pStyle w:val="Odlomakpopisa"/>
              <w:ind w:left="0"/>
            </w:pPr>
            <w:r>
              <w:t>NABAVLJENO</w:t>
            </w:r>
          </w:p>
        </w:tc>
        <w:tc>
          <w:tcPr>
            <w:tcW w:w="3132" w:type="dxa"/>
          </w:tcPr>
          <w:p w:rsidR="005A09CD" w:rsidRDefault="005A09CD" w:rsidP="00811CAA">
            <w:pPr>
              <w:pStyle w:val="Odlomakpopisa"/>
              <w:ind w:left="0"/>
            </w:pPr>
            <w:r>
              <w:t>RASHOD</w:t>
            </w:r>
          </w:p>
        </w:tc>
      </w:tr>
      <w:tr w:rsidR="0000575F" w:rsidTr="005A09CD">
        <w:tc>
          <w:tcPr>
            <w:tcW w:w="3131" w:type="dxa"/>
          </w:tcPr>
          <w:p w:rsidR="0000575F" w:rsidRDefault="0000575F" w:rsidP="00811CAA">
            <w:pPr>
              <w:pStyle w:val="Odlomakpopisa"/>
              <w:ind w:left="0"/>
            </w:pPr>
            <w:r>
              <w:t>Licence</w:t>
            </w:r>
          </w:p>
        </w:tc>
        <w:tc>
          <w:tcPr>
            <w:tcW w:w="3131" w:type="dxa"/>
          </w:tcPr>
          <w:p w:rsidR="0000575F" w:rsidRDefault="0000575F" w:rsidP="00811CAA">
            <w:pPr>
              <w:pStyle w:val="Odlomakpopisa"/>
              <w:ind w:left="0"/>
            </w:pPr>
          </w:p>
        </w:tc>
        <w:tc>
          <w:tcPr>
            <w:tcW w:w="3132" w:type="dxa"/>
          </w:tcPr>
          <w:p w:rsidR="0000575F" w:rsidRDefault="0000575F" w:rsidP="00811CAA">
            <w:pPr>
              <w:pStyle w:val="Odlomakpopisa"/>
              <w:ind w:left="0"/>
            </w:pPr>
            <w:r>
              <w:t xml:space="preserve">  3.375,00</w:t>
            </w:r>
          </w:p>
        </w:tc>
      </w:tr>
      <w:tr w:rsidR="005A09CD" w:rsidTr="005A09CD">
        <w:tc>
          <w:tcPr>
            <w:tcW w:w="3131" w:type="dxa"/>
          </w:tcPr>
          <w:p w:rsidR="005A09CD" w:rsidRDefault="005A09CD" w:rsidP="00811CAA">
            <w:pPr>
              <w:pStyle w:val="Odlomakpopisa"/>
              <w:ind w:left="0"/>
            </w:pPr>
            <w:r>
              <w:t>Računalna oprema</w:t>
            </w:r>
          </w:p>
        </w:tc>
        <w:tc>
          <w:tcPr>
            <w:tcW w:w="3131" w:type="dxa"/>
          </w:tcPr>
          <w:p w:rsidR="005A09CD" w:rsidRDefault="005A09CD" w:rsidP="00811CAA">
            <w:pPr>
              <w:pStyle w:val="Odlomakpopisa"/>
              <w:ind w:left="0"/>
            </w:pPr>
            <w:r>
              <w:t>13.887,20</w:t>
            </w:r>
          </w:p>
        </w:tc>
        <w:tc>
          <w:tcPr>
            <w:tcW w:w="3132" w:type="dxa"/>
          </w:tcPr>
          <w:p w:rsidR="005A09CD" w:rsidRDefault="005A09CD" w:rsidP="00811CAA">
            <w:pPr>
              <w:pStyle w:val="Odlomakpopisa"/>
              <w:ind w:left="0"/>
            </w:pPr>
            <w:r>
              <w:t>38.325,83</w:t>
            </w:r>
          </w:p>
        </w:tc>
      </w:tr>
      <w:tr w:rsidR="005A09CD" w:rsidTr="005A09CD">
        <w:tc>
          <w:tcPr>
            <w:tcW w:w="3131" w:type="dxa"/>
          </w:tcPr>
          <w:p w:rsidR="005A09CD" w:rsidRDefault="005A09CD" w:rsidP="00811CAA">
            <w:pPr>
              <w:pStyle w:val="Odlomakpopisa"/>
              <w:ind w:left="0"/>
            </w:pPr>
            <w:r>
              <w:t>Uredski i ostali namještaj</w:t>
            </w:r>
          </w:p>
        </w:tc>
        <w:tc>
          <w:tcPr>
            <w:tcW w:w="3131" w:type="dxa"/>
          </w:tcPr>
          <w:p w:rsidR="005A09CD" w:rsidRDefault="005A09CD" w:rsidP="00811CAA">
            <w:pPr>
              <w:pStyle w:val="Odlomakpopisa"/>
              <w:ind w:left="0"/>
            </w:pPr>
            <w:r>
              <w:t>22.022,50</w:t>
            </w:r>
          </w:p>
        </w:tc>
        <w:tc>
          <w:tcPr>
            <w:tcW w:w="3132" w:type="dxa"/>
          </w:tcPr>
          <w:p w:rsidR="005A09CD" w:rsidRDefault="005A09CD" w:rsidP="00811CAA">
            <w:pPr>
              <w:pStyle w:val="Odlomakpopisa"/>
              <w:ind w:left="0"/>
            </w:pPr>
            <w:r>
              <w:t>11.473,40</w:t>
            </w:r>
          </w:p>
        </w:tc>
      </w:tr>
      <w:tr w:rsidR="005A09CD" w:rsidTr="005A09CD">
        <w:tc>
          <w:tcPr>
            <w:tcW w:w="3131" w:type="dxa"/>
          </w:tcPr>
          <w:p w:rsidR="005A09CD" w:rsidRDefault="005A09CD" w:rsidP="00811CAA">
            <w:pPr>
              <w:pStyle w:val="Odlomakpopisa"/>
              <w:ind w:left="0"/>
            </w:pPr>
            <w:r>
              <w:t>Ostala uredska oprema</w:t>
            </w:r>
          </w:p>
        </w:tc>
        <w:tc>
          <w:tcPr>
            <w:tcW w:w="3131" w:type="dxa"/>
          </w:tcPr>
          <w:p w:rsidR="005A09CD" w:rsidRDefault="005A09CD" w:rsidP="00811CAA">
            <w:pPr>
              <w:pStyle w:val="Odlomakpopisa"/>
              <w:ind w:left="0"/>
            </w:pPr>
            <w:r>
              <w:t>81.711,50</w:t>
            </w:r>
          </w:p>
        </w:tc>
        <w:tc>
          <w:tcPr>
            <w:tcW w:w="3132" w:type="dxa"/>
          </w:tcPr>
          <w:p w:rsidR="005A09CD" w:rsidRDefault="005A09CD" w:rsidP="00811CAA">
            <w:pPr>
              <w:pStyle w:val="Odlomakpopisa"/>
              <w:ind w:left="0"/>
            </w:pPr>
            <w:r>
              <w:t xml:space="preserve">  8.880,57</w:t>
            </w:r>
          </w:p>
        </w:tc>
      </w:tr>
      <w:tr w:rsidR="005A09CD" w:rsidTr="005A09CD">
        <w:tc>
          <w:tcPr>
            <w:tcW w:w="3131" w:type="dxa"/>
          </w:tcPr>
          <w:p w:rsidR="005A09CD" w:rsidRDefault="005A09CD" w:rsidP="00811CAA">
            <w:pPr>
              <w:pStyle w:val="Odlomakpopisa"/>
              <w:ind w:left="0"/>
            </w:pPr>
            <w:r>
              <w:t>Radio i TV</w:t>
            </w:r>
          </w:p>
        </w:tc>
        <w:tc>
          <w:tcPr>
            <w:tcW w:w="3131" w:type="dxa"/>
          </w:tcPr>
          <w:p w:rsidR="005A09CD" w:rsidRDefault="005A09CD" w:rsidP="00811CAA">
            <w:pPr>
              <w:pStyle w:val="Odlomakpopisa"/>
              <w:ind w:left="0"/>
            </w:pPr>
            <w:r>
              <w:t>-</w:t>
            </w:r>
          </w:p>
        </w:tc>
        <w:tc>
          <w:tcPr>
            <w:tcW w:w="3132" w:type="dxa"/>
          </w:tcPr>
          <w:p w:rsidR="005A09CD" w:rsidRDefault="005A09CD" w:rsidP="00811CAA">
            <w:pPr>
              <w:pStyle w:val="Odlomakpopisa"/>
              <w:ind w:left="0"/>
            </w:pPr>
            <w:r>
              <w:t xml:space="preserve">  1.000,62</w:t>
            </w:r>
          </w:p>
        </w:tc>
      </w:tr>
      <w:tr w:rsidR="005A09CD" w:rsidTr="005A09CD">
        <w:tc>
          <w:tcPr>
            <w:tcW w:w="3131" w:type="dxa"/>
          </w:tcPr>
          <w:p w:rsidR="005A09CD" w:rsidRDefault="005A09CD" w:rsidP="00811CAA">
            <w:pPr>
              <w:pStyle w:val="Odlomakpopisa"/>
              <w:ind w:left="0"/>
            </w:pPr>
            <w:r>
              <w:t>Oprema za grijanje, hlađenje..</w:t>
            </w:r>
          </w:p>
        </w:tc>
        <w:tc>
          <w:tcPr>
            <w:tcW w:w="3131" w:type="dxa"/>
          </w:tcPr>
          <w:p w:rsidR="005A09CD" w:rsidRDefault="005A09CD" w:rsidP="00811CAA">
            <w:pPr>
              <w:pStyle w:val="Odlomakpopisa"/>
              <w:ind w:left="0"/>
            </w:pPr>
          </w:p>
        </w:tc>
        <w:tc>
          <w:tcPr>
            <w:tcW w:w="3132" w:type="dxa"/>
          </w:tcPr>
          <w:p w:rsidR="005A09CD" w:rsidRDefault="005A09CD" w:rsidP="00811CAA">
            <w:pPr>
              <w:pStyle w:val="Odlomakpopisa"/>
              <w:ind w:left="0"/>
            </w:pPr>
            <w:r>
              <w:t xml:space="preserve">  2.770,41</w:t>
            </w:r>
          </w:p>
        </w:tc>
      </w:tr>
      <w:tr w:rsidR="005A09CD" w:rsidTr="005A09CD">
        <w:tc>
          <w:tcPr>
            <w:tcW w:w="3131" w:type="dxa"/>
          </w:tcPr>
          <w:p w:rsidR="005A09CD" w:rsidRDefault="005A09CD" w:rsidP="00811CAA">
            <w:pPr>
              <w:pStyle w:val="Odlomakpopisa"/>
              <w:ind w:left="0"/>
            </w:pPr>
            <w:r>
              <w:t xml:space="preserve">Precizni i optički </w:t>
            </w:r>
            <w:proofErr w:type="spellStart"/>
            <w:r>
              <w:t>instrum</w:t>
            </w:r>
            <w:proofErr w:type="spellEnd"/>
            <w:r>
              <w:t>.</w:t>
            </w:r>
          </w:p>
        </w:tc>
        <w:tc>
          <w:tcPr>
            <w:tcW w:w="3131" w:type="dxa"/>
          </w:tcPr>
          <w:p w:rsidR="005A09CD" w:rsidRDefault="005A09CD" w:rsidP="00811CAA">
            <w:pPr>
              <w:pStyle w:val="Odlomakpopisa"/>
              <w:ind w:left="0"/>
            </w:pPr>
          </w:p>
        </w:tc>
        <w:tc>
          <w:tcPr>
            <w:tcW w:w="3132" w:type="dxa"/>
          </w:tcPr>
          <w:p w:rsidR="005A09CD" w:rsidRDefault="005A09CD" w:rsidP="00811CAA">
            <w:pPr>
              <w:pStyle w:val="Odlomakpopisa"/>
              <w:ind w:left="0"/>
            </w:pPr>
            <w:r>
              <w:t xml:space="preserve">  1.007,20</w:t>
            </w:r>
          </w:p>
        </w:tc>
      </w:tr>
      <w:tr w:rsidR="005A09CD" w:rsidTr="005A09CD">
        <w:tc>
          <w:tcPr>
            <w:tcW w:w="3131" w:type="dxa"/>
          </w:tcPr>
          <w:p w:rsidR="005A09CD" w:rsidRDefault="005A09CD" w:rsidP="00811CAA">
            <w:pPr>
              <w:pStyle w:val="Odlomakpopisa"/>
              <w:ind w:left="0"/>
            </w:pPr>
            <w:r>
              <w:t>Strojevi za obradu zemljišta</w:t>
            </w:r>
          </w:p>
        </w:tc>
        <w:tc>
          <w:tcPr>
            <w:tcW w:w="3131" w:type="dxa"/>
          </w:tcPr>
          <w:p w:rsidR="005A09CD" w:rsidRDefault="005A09CD" w:rsidP="00811CAA">
            <w:pPr>
              <w:pStyle w:val="Odlomakpopisa"/>
              <w:ind w:left="0"/>
            </w:pPr>
          </w:p>
        </w:tc>
        <w:tc>
          <w:tcPr>
            <w:tcW w:w="3132" w:type="dxa"/>
          </w:tcPr>
          <w:p w:rsidR="005A09CD" w:rsidRDefault="005A09CD" w:rsidP="00811CAA">
            <w:pPr>
              <w:pStyle w:val="Odlomakpopisa"/>
              <w:ind w:left="0"/>
            </w:pPr>
            <w:r>
              <w:t xml:space="preserve"> 2.913,77</w:t>
            </w:r>
          </w:p>
        </w:tc>
      </w:tr>
      <w:tr w:rsidR="005A09CD" w:rsidTr="005A09CD">
        <w:tc>
          <w:tcPr>
            <w:tcW w:w="3131" w:type="dxa"/>
          </w:tcPr>
          <w:p w:rsidR="005A09CD" w:rsidRDefault="005A09CD" w:rsidP="00811CAA">
            <w:pPr>
              <w:pStyle w:val="Odlomakpopisa"/>
              <w:ind w:left="0"/>
            </w:pPr>
            <w:r>
              <w:t>Strojevi</w:t>
            </w:r>
          </w:p>
        </w:tc>
        <w:tc>
          <w:tcPr>
            <w:tcW w:w="3131" w:type="dxa"/>
          </w:tcPr>
          <w:p w:rsidR="005A09CD" w:rsidRDefault="005A09CD" w:rsidP="00811CAA">
            <w:pPr>
              <w:pStyle w:val="Odlomakpopisa"/>
              <w:ind w:left="0"/>
            </w:pPr>
            <w:r>
              <w:t>2.799,00</w:t>
            </w:r>
          </w:p>
        </w:tc>
        <w:tc>
          <w:tcPr>
            <w:tcW w:w="3132" w:type="dxa"/>
          </w:tcPr>
          <w:p w:rsidR="005A09CD" w:rsidRDefault="005A09CD" w:rsidP="00811CAA">
            <w:pPr>
              <w:pStyle w:val="Odlomakpopisa"/>
              <w:ind w:left="0"/>
            </w:pPr>
          </w:p>
        </w:tc>
      </w:tr>
      <w:tr w:rsidR="005A09CD" w:rsidTr="005A09CD">
        <w:tc>
          <w:tcPr>
            <w:tcW w:w="3131" w:type="dxa"/>
          </w:tcPr>
          <w:p w:rsidR="005A09CD" w:rsidRDefault="0000575F" w:rsidP="00811CAA">
            <w:pPr>
              <w:pStyle w:val="Odlomakpopisa"/>
              <w:ind w:left="0"/>
            </w:pPr>
            <w:r>
              <w:t>Oprema</w:t>
            </w:r>
          </w:p>
        </w:tc>
        <w:tc>
          <w:tcPr>
            <w:tcW w:w="3131" w:type="dxa"/>
          </w:tcPr>
          <w:p w:rsidR="005A09CD" w:rsidRDefault="005A09CD" w:rsidP="00811CAA">
            <w:pPr>
              <w:pStyle w:val="Odlomakpopisa"/>
              <w:ind w:left="0"/>
            </w:pPr>
          </w:p>
        </w:tc>
        <w:tc>
          <w:tcPr>
            <w:tcW w:w="3132" w:type="dxa"/>
          </w:tcPr>
          <w:p w:rsidR="005A09CD" w:rsidRDefault="0000575F" w:rsidP="00811CAA">
            <w:pPr>
              <w:pStyle w:val="Odlomakpopisa"/>
              <w:ind w:left="0"/>
            </w:pPr>
            <w:r>
              <w:t>1.264,82</w:t>
            </w:r>
          </w:p>
        </w:tc>
      </w:tr>
      <w:tr w:rsidR="005A09CD" w:rsidTr="005A09CD">
        <w:tc>
          <w:tcPr>
            <w:tcW w:w="3131" w:type="dxa"/>
          </w:tcPr>
          <w:p w:rsidR="005A09CD" w:rsidRDefault="0000575F" w:rsidP="00811CAA">
            <w:pPr>
              <w:pStyle w:val="Odlomakpopisa"/>
              <w:ind w:left="0"/>
            </w:pPr>
            <w:r>
              <w:t>Bicikli</w:t>
            </w:r>
          </w:p>
        </w:tc>
        <w:tc>
          <w:tcPr>
            <w:tcW w:w="3131" w:type="dxa"/>
          </w:tcPr>
          <w:p w:rsidR="005A09CD" w:rsidRDefault="005A09CD" w:rsidP="00811CAA">
            <w:pPr>
              <w:pStyle w:val="Odlomakpopisa"/>
              <w:ind w:left="0"/>
            </w:pPr>
          </w:p>
        </w:tc>
        <w:tc>
          <w:tcPr>
            <w:tcW w:w="3132" w:type="dxa"/>
          </w:tcPr>
          <w:p w:rsidR="005A09CD" w:rsidRDefault="0000575F" w:rsidP="00811CAA">
            <w:pPr>
              <w:pStyle w:val="Odlomakpopisa"/>
              <w:ind w:left="0"/>
            </w:pPr>
            <w:r>
              <w:t>2.280,00</w:t>
            </w:r>
          </w:p>
        </w:tc>
      </w:tr>
      <w:tr w:rsidR="005A09CD" w:rsidTr="005A09CD">
        <w:tc>
          <w:tcPr>
            <w:tcW w:w="3131" w:type="dxa"/>
          </w:tcPr>
          <w:p w:rsidR="005A09CD" w:rsidRDefault="0000575F" w:rsidP="00811CAA">
            <w:pPr>
              <w:pStyle w:val="Odlomakpopisa"/>
              <w:ind w:left="0"/>
            </w:pPr>
            <w:r>
              <w:t>Knjige u knjižnici</w:t>
            </w:r>
          </w:p>
        </w:tc>
        <w:tc>
          <w:tcPr>
            <w:tcW w:w="3131" w:type="dxa"/>
          </w:tcPr>
          <w:p w:rsidR="005A09CD" w:rsidRDefault="0000575F" w:rsidP="00811CAA">
            <w:pPr>
              <w:pStyle w:val="Odlomakpopisa"/>
              <w:ind w:left="0"/>
            </w:pPr>
            <w:r>
              <w:t>14.078,39</w:t>
            </w:r>
          </w:p>
        </w:tc>
        <w:tc>
          <w:tcPr>
            <w:tcW w:w="3132" w:type="dxa"/>
          </w:tcPr>
          <w:p w:rsidR="005A09CD" w:rsidRDefault="005A09CD" w:rsidP="00811CAA">
            <w:pPr>
              <w:pStyle w:val="Odlomakpopisa"/>
              <w:ind w:left="0"/>
            </w:pPr>
          </w:p>
        </w:tc>
      </w:tr>
      <w:tr w:rsidR="005A09CD" w:rsidTr="005A09CD">
        <w:tc>
          <w:tcPr>
            <w:tcW w:w="3131" w:type="dxa"/>
          </w:tcPr>
          <w:p w:rsidR="005A09CD" w:rsidRDefault="0000575F" w:rsidP="00811CAA">
            <w:pPr>
              <w:pStyle w:val="Odlomakpopisa"/>
              <w:ind w:left="0"/>
            </w:pPr>
            <w:r>
              <w:t>Udžbenici</w:t>
            </w:r>
          </w:p>
        </w:tc>
        <w:tc>
          <w:tcPr>
            <w:tcW w:w="3131" w:type="dxa"/>
          </w:tcPr>
          <w:p w:rsidR="005A09CD" w:rsidRDefault="0000575F" w:rsidP="00811CAA">
            <w:pPr>
              <w:pStyle w:val="Odlomakpopisa"/>
              <w:ind w:left="0"/>
            </w:pPr>
            <w:r>
              <w:t>87.174,69</w:t>
            </w:r>
          </w:p>
        </w:tc>
        <w:tc>
          <w:tcPr>
            <w:tcW w:w="3132" w:type="dxa"/>
          </w:tcPr>
          <w:p w:rsidR="005A09CD" w:rsidRDefault="005A09CD" w:rsidP="00811CAA">
            <w:pPr>
              <w:pStyle w:val="Odlomakpopisa"/>
              <w:ind w:left="0"/>
            </w:pPr>
          </w:p>
        </w:tc>
      </w:tr>
      <w:tr w:rsidR="005A09CD" w:rsidTr="005A09CD">
        <w:tc>
          <w:tcPr>
            <w:tcW w:w="3131" w:type="dxa"/>
          </w:tcPr>
          <w:p w:rsidR="005A09CD" w:rsidRDefault="0000575F" w:rsidP="00811CAA">
            <w:pPr>
              <w:pStyle w:val="Odlomakpopisa"/>
              <w:ind w:left="0"/>
            </w:pPr>
            <w:r>
              <w:t>Izložbene vrijednosti</w:t>
            </w:r>
          </w:p>
        </w:tc>
        <w:tc>
          <w:tcPr>
            <w:tcW w:w="3131" w:type="dxa"/>
          </w:tcPr>
          <w:p w:rsidR="005A09CD" w:rsidRDefault="005A09CD" w:rsidP="00811CAA">
            <w:pPr>
              <w:pStyle w:val="Odlomakpopisa"/>
              <w:ind w:left="0"/>
            </w:pPr>
          </w:p>
        </w:tc>
        <w:tc>
          <w:tcPr>
            <w:tcW w:w="3132" w:type="dxa"/>
          </w:tcPr>
          <w:p w:rsidR="005A09CD" w:rsidRDefault="0000575F" w:rsidP="00811CAA">
            <w:pPr>
              <w:pStyle w:val="Odlomakpopisa"/>
              <w:ind w:left="0"/>
            </w:pPr>
            <w:r>
              <w:t xml:space="preserve">   100,00</w:t>
            </w:r>
          </w:p>
        </w:tc>
      </w:tr>
      <w:tr w:rsidR="005A09CD" w:rsidTr="005A09CD">
        <w:tc>
          <w:tcPr>
            <w:tcW w:w="3131" w:type="dxa"/>
          </w:tcPr>
          <w:p w:rsidR="005A09CD" w:rsidRDefault="0000575F" w:rsidP="00811CAA">
            <w:pPr>
              <w:pStyle w:val="Odlomakpopisa"/>
              <w:ind w:left="0"/>
            </w:pPr>
            <w:r>
              <w:t>Sitni inventar</w:t>
            </w:r>
          </w:p>
        </w:tc>
        <w:tc>
          <w:tcPr>
            <w:tcW w:w="3131" w:type="dxa"/>
          </w:tcPr>
          <w:p w:rsidR="005A09CD" w:rsidRDefault="0000575F" w:rsidP="00811CAA">
            <w:pPr>
              <w:pStyle w:val="Odlomakpopisa"/>
              <w:ind w:left="0"/>
            </w:pPr>
            <w:r>
              <w:t>23.471,12</w:t>
            </w:r>
          </w:p>
        </w:tc>
        <w:tc>
          <w:tcPr>
            <w:tcW w:w="3132" w:type="dxa"/>
          </w:tcPr>
          <w:p w:rsidR="005A09CD" w:rsidRDefault="0000575F" w:rsidP="00811CAA">
            <w:pPr>
              <w:pStyle w:val="Odlomakpopisa"/>
              <w:ind w:left="0"/>
            </w:pPr>
            <w:r>
              <w:t>21.010,31</w:t>
            </w:r>
          </w:p>
        </w:tc>
      </w:tr>
      <w:tr w:rsidR="005A09CD" w:rsidTr="005A09CD">
        <w:tc>
          <w:tcPr>
            <w:tcW w:w="3131" w:type="dxa"/>
          </w:tcPr>
          <w:p w:rsidR="005A09CD" w:rsidRDefault="0000575F" w:rsidP="00811CAA">
            <w:pPr>
              <w:pStyle w:val="Odlomakpopisa"/>
              <w:ind w:left="0"/>
            </w:pPr>
            <w:r>
              <w:t>Imovina u pripremi (Projekt sunčanih elektrana)</w:t>
            </w:r>
          </w:p>
        </w:tc>
        <w:tc>
          <w:tcPr>
            <w:tcW w:w="3131" w:type="dxa"/>
          </w:tcPr>
          <w:p w:rsidR="005A09CD" w:rsidRDefault="0000575F" w:rsidP="00811CAA">
            <w:pPr>
              <w:pStyle w:val="Odlomakpopisa"/>
              <w:ind w:left="0"/>
            </w:pPr>
            <w:r>
              <w:t>20.000,00</w:t>
            </w:r>
          </w:p>
        </w:tc>
        <w:tc>
          <w:tcPr>
            <w:tcW w:w="3132" w:type="dxa"/>
          </w:tcPr>
          <w:p w:rsidR="005A09CD" w:rsidRDefault="005A09CD" w:rsidP="00811CAA">
            <w:pPr>
              <w:pStyle w:val="Odlomakpopisa"/>
              <w:ind w:left="0"/>
            </w:pPr>
          </w:p>
        </w:tc>
      </w:tr>
      <w:tr w:rsidR="0000575F" w:rsidTr="0000575F">
        <w:tc>
          <w:tcPr>
            <w:tcW w:w="3131" w:type="dxa"/>
          </w:tcPr>
          <w:p w:rsidR="0000575F" w:rsidRDefault="0000575F" w:rsidP="00811CAA">
            <w:pPr>
              <w:pStyle w:val="Odlomakpopisa"/>
              <w:ind w:left="0"/>
            </w:pPr>
            <w:r>
              <w:t>UKUPNO</w:t>
            </w:r>
          </w:p>
        </w:tc>
        <w:tc>
          <w:tcPr>
            <w:tcW w:w="3131" w:type="dxa"/>
          </w:tcPr>
          <w:p w:rsidR="0000575F" w:rsidRDefault="0000575F" w:rsidP="00811CAA">
            <w:pPr>
              <w:pStyle w:val="Odlomakpopisa"/>
              <w:ind w:left="0"/>
            </w:pPr>
            <w:r>
              <w:t>265.144,40</w:t>
            </w:r>
          </w:p>
        </w:tc>
        <w:tc>
          <w:tcPr>
            <w:tcW w:w="3132" w:type="dxa"/>
          </w:tcPr>
          <w:p w:rsidR="0000575F" w:rsidRDefault="0000575F" w:rsidP="00811CAA">
            <w:pPr>
              <w:pStyle w:val="Odlomakpopisa"/>
              <w:ind w:left="0"/>
            </w:pPr>
            <w:r>
              <w:t>94.401,93</w:t>
            </w:r>
          </w:p>
          <w:p w:rsidR="0000575F" w:rsidRDefault="0000575F" w:rsidP="00811CAA">
            <w:pPr>
              <w:pStyle w:val="Odlomakpopisa"/>
              <w:ind w:left="0"/>
            </w:pPr>
          </w:p>
        </w:tc>
      </w:tr>
    </w:tbl>
    <w:p w:rsidR="005A09CD" w:rsidRDefault="005A09CD" w:rsidP="00811CAA">
      <w:pPr>
        <w:pStyle w:val="Odlomakpopisa"/>
      </w:pPr>
    </w:p>
    <w:p w:rsidR="00DC75F0" w:rsidRDefault="00DC75F0" w:rsidP="00811CAA">
      <w:pPr>
        <w:pStyle w:val="Odlomakpopisa"/>
      </w:pPr>
    </w:p>
    <w:p w:rsidR="00E27893" w:rsidRDefault="00DC75F0" w:rsidP="00811CAA">
      <w:pPr>
        <w:pStyle w:val="Odlomakpopisa"/>
      </w:pPr>
      <w:r>
        <w:t>Imovina je naba</w:t>
      </w:r>
      <w:r w:rsidR="00E27893">
        <w:t xml:space="preserve">vljena </w:t>
      </w:r>
      <w:proofErr w:type="spellStart"/>
      <w:r w:rsidR="00E27893">
        <w:t>iz:a</w:t>
      </w:r>
      <w:proofErr w:type="spellEnd"/>
      <w:r w:rsidR="00E27893">
        <w:t>) decentraliziranih izv</w:t>
      </w:r>
      <w:r>
        <w:t>ora</w:t>
      </w:r>
      <w:r w:rsidR="00E27893">
        <w:t xml:space="preserve">  73.610,01</w:t>
      </w:r>
    </w:p>
    <w:p w:rsidR="00E27893" w:rsidRDefault="00E27893" w:rsidP="00811CAA">
      <w:pPr>
        <w:pStyle w:val="Odlomakpopisa"/>
      </w:pPr>
      <w:r>
        <w:tab/>
      </w:r>
      <w:r>
        <w:tab/>
      </w:r>
      <w:r>
        <w:tab/>
        <w:t xml:space="preserve">        b) komunalne naknade      20.000,00</w:t>
      </w:r>
    </w:p>
    <w:p w:rsidR="00E27893" w:rsidRDefault="00E27893" w:rsidP="00811CAA">
      <w:pPr>
        <w:pStyle w:val="Odlomakpopisa"/>
      </w:pPr>
      <w:r>
        <w:tab/>
      </w:r>
      <w:r>
        <w:tab/>
      </w:r>
      <w:r>
        <w:tab/>
        <w:t xml:space="preserve">        c) vlastita sredstva             35.698,90</w:t>
      </w:r>
    </w:p>
    <w:p w:rsidR="00E27893" w:rsidRDefault="00E27893" w:rsidP="00811CAA">
      <w:pPr>
        <w:pStyle w:val="Odlomakpopisa"/>
      </w:pPr>
      <w:r>
        <w:tab/>
      </w:r>
      <w:r>
        <w:tab/>
      </w:r>
      <w:r>
        <w:tab/>
        <w:t xml:space="preserve">        d) sredstva pomoći</w:t>
      </w:r>
      <w:r>
        <w:tab/>
        <w:t xml:space="preserve">       104.231,87</w:t>
      </w:r>
    </w:p>
    <w:p w:rsidR="00E27893" w:rsidRDefault="00E27893" w:rsidP="00811CAA">
      <w:pPr>
        <w:pStyle w:val="Odlomakpopisa"/>
      </w:pPr>
      <w:r>
        <w:tab/>
      </w:r>
      <w:r>
        <w:tab/>
      </w:r>
      <w:r>
        <w:tab/>
        <w:t xml:space="preserve">        e) donacije                            3.147,50   </w:t>
      </w:r>
    </w:p>
    <w:p w:rsidR="00EE5011" w:rsidRDefault="00E27893" w:rsidP="00811CAA">
      <w:pPr>
        <w:pStyle w:val="Odlomakpopisa"/>
      </w:pPr>
      <w:r>
        <w:lastRenderedPageBreak/>
        <w:tab/>
      </w:r>
      <w:r>
        <w:tab/>
      </w:r>
      <w:r>
        <w:tab/>
      </w:r>
      <w:r w:rsidR="005A09CD">
        <w:tab/>
      </w:r>
      <w:r w:rsidR="005A09CD">
        <w:tab/>
      </w:r>
      <w:r w:rsidR="005A09CD">
        <w:tab/>
      </w:r>
      <w:r w:rsidR="005A09CD">
        <w:tab/>
      </w:r>
      <w:r w:rsidR="005A09CD">
        <w:tab/>
      </w:r>
      <w:r w:rsidR="005A09CD">
        <w:tab/>
      </w:r>
    </w:p>
    <w:p w:rsidR="00E263E6" w:rsidRDefault="00E263E6" w:rsidP="00EE7C68">
      <w:pPr>
        <w:pStyle w:val="Odlomakpopisa"/>
      </w:pPr>
    </w:p>
    <w:tbl>
      <w:tblPr>
        <w:tblW w:w="9639" w:type="dxa"/>
        <w:tblLook w:val="04A0" w:firstRow="1" w:lastRow="0" w:firstColumn="1" w:lastColumn="0" w:noHBand="0" w:noVBand="1"/>
      </w:tblPr>
      <w:tblGrid>
        <w:gridCol w:w="1028"/>
        <w:gridCol w:w="8739"/>
        <w:gridCol w:w="2943"/>
        <w:gridCol w:w="697"/>
        <w:gridCol w:w="2023"/>
        <w:gridCol w:w="410"/>
        <w:gridCol w:w="810"/>
        <w:gridCol w:w="414"/>
        <w:gridCol w:w="806"/>
        <w:gridCol w:w="652"/>
      </w:tblGrid>
      <w:tr w:rsidR="00377706" w:rsidRPr="00377706" w:rsidTr="00E27893">
        <w:trPr>
          <w:trHeight w:val="360"/>
        </w:trPr>
        <w:tc>
          <w:tcPr>
            <w:tcW w:w="9639" w:type="dxa"/>
            <w:gridSpan w:val="10"/>
            <w:tcBorders>
              <w:top w:val="nil"/>
              <w:left w:val="nil"/>
              <w:bottom w:val="nil"/>
              <w:right w:val="nil"/>
            </w:tcBorders>
            <w:shd w:val="clear" w:color="auto" w:fill="auto"/>
            <w:noWrap/>
            <w:vAlign w:val="bottom"/>
            <w:hideMark/>
          </w:tcPr>
          <w:p w:rsidR="00377706" w:rsidRPr="00377706" w:rsidRDefault="00786042" w:rsidP="001066AE">
            <w:pPr>
              <w:rPr>
                <w:rFonts w:cs="Arial"/>
                <w:b/>
                <w:bCs/>
                <w:sz w:val="28"/>
                <w:szCs w:val="28"/>
              </w:rPr>
            </w:pPr>
            <w:r>
              <w:rPr>
                <w:rFonts w:cs="Arial"/>
                <w:b/>
                <w:bCs/>
                <w:sz w:val="28"/>
                <w:szCs w:val="28"/>
              </w:rPr>
              <w:t xml:space="preserve">4. </w:t>
            </w:r>
            <w:r w:rsidR="00377706" w:rsidRPr="00377706">
              <w:rPr>
                <w:rFonts w:cs="Arial"/>
                <w:b/>
                <w:bCs/>
                <w:sz w:val="28"/>
                <w:szCs w:val="28"/>
              </w:rPr>
              <w:t>Potraživanja na dan 31.12.202</w:t>
            </w:r>
            <w:r w:rsidR="001066AE">
              <w:rPr>
                <w:rFonts w:cs="Arial"/>
                <w:b/>
                <w:bCs/>
                <w:sz w:val="28"/>
                <w:szCs w:val="28"/>
              </w:rPr>
              <w:t>2</w:t>
            </w:r>
          </w:p>
        </w:tc>
      </w:tr>
      <w:tr w:rsidR="00377706" w:rsidRPr="00377706" w:rsidTr="00E27893">
        <w:trPr>
          <w:trHeight w:val="255"/>
        </w:trPr>
        <w:tc>
          <w:tcPr>
            <w:tcW w:w="884" w:type="dxa"/>
            <w:gridSpan w:val="2"/>
            <w:tcBorders>
              <w:top w:val="nil"/>
              <w:left w:val="nil"/>
              <w:bottom w:val="nil"/>
              <w:right w:val="nil"/>
            </w:tcBorders>
            <w:shd w:val="clear" w:color="auto" w:fill="auto"/>
            <w:noWrap/>
            <w:vAlign w:val="bottom"/>
            <w:hideMark/>
          </w:tcPr>
          <w:p w:rsidR="00377706" w:rsidRPr="00377706" w:rsidRDefault="00377706" w:rsidP="00377706">
            <w:pPr>
              <w:jc w:val="center"/>
              <w:rPr>
                <w:rFonts w:cs="Arial"/>
                <w:b/>
                <w:bCs/>
                <w:sz w:val="28"/>
                <w:szCs w:val="28"/>
              </w:rPr>
            </w:pPr>
          </w:p>
        </w:tc>
        <w:tc>
          <w:tcPr>
            <w:tcW w:w="3640"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2433"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224"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458"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r>
      <w:tr w:rsidR="00377706" w:rsidRPr="00377706" w:rsidTr="00E27893">
        <w:trPr>
          <w:trHeight w:val="255"/>
        </w:trPr>
        <w:tc>
          <w:tcPr>
            <w:tcW w:w="884"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3640"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2433"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224"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458"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r>
      <w:tr w:rsidR="00377706" w:rsidRPr="00377706" w:rsidTr="00E27893">
        <w:trPr>
          <w:trHeight w:val="255"/>
        </w:trPr>
        <w:tc>
          <w:tcPr>
            <w:tcW w:w="884" w:type="dxa"/>
            <w:gridSpan w:val="2"/>
            <w:tcBorders>
              <w:top w:val="nil"/>
              <w:left w:val="nil"/>
              <w:bottom w:val="nil"/>
              <w:right w:val="nil"/>
            </w:tcBorders>
            <w:shd w:val="clear" w:color="auto" w:fill="auto"/>
            <w:noWrap/>
            <w:vAlign w:val="bottom"/>
            <w:hideMark/>
          </w:tcPr>
          <w:tbl>
            <w:tblPr>
              <w:tblW w:w="9360" w:type="dxa"/>
              <w:tblLook w:val="04A0" w:firstRow="1" w:lastRow="0" w:firstColumn="1" w:lastColumn="0" w:noHBand="0" w:noVBand="1"/>
            </w:tblPr>
            <w:tblGrid>
              <w:gridCol w:w="940"/>
              <w:gridCol w:w="3100"/>
              <w:gridCol w:w="2900"/>
              <w:gridCol w:w="1217"/>
              <w:gridCol w:w="1384"/>
            </w:tblGrid>
            <w:tr w:rsidR="00E27893" w:rsidRPr="00E27893" w:rsidTr="00E27893">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proofErr w:type="spellStart"/>
                  <w:r w:rsidRPr="00E27893">
                    <w:rPr>
                      <w:rFonts w:cs="Arial"/>
                      <w:sz w:val="20"/>
                      <w:szCs w:val="20"/>
                    </w:rPr>
                    <w:t>kto</w:t>
                  </w:r>
                  <w:proofErr w:type="spellEnd"/>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xml:space="preserve">Naziv </w:t>
                  </w:r>
                  <w:proofErr w:type="spellStart"/>
                  <w:r w:rsidRPr="00E27893">
                    <w:rPr>
                      <w:rFonts w:cs="Arial"/>
                      <w:sz w:val="20"/>
                      <w:szCs w:val="20"/>
                    </w:rPr>
                    <w:t>kta</w:t>
                  </w:r>
                  <w:proofErr w:type="spellEnd"/>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opis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xml:space="preserve"> iznos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123190</w:t>
                  </w:r>
                </w:p>
              </w:tc>
              <w:tc>
                <w:tcPr>
                  <w:tcW w:w="310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Ostala potraživanja od zaposlenih</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0,00</w:t>
                  </w:r>
                </w:p>
              </w:tc>
            </w:tr>
            <w:tr w:rsidR="00E27893" w:rsidRPr="00E27893" w:rsidTr="00E27893">
              <w:trPr>
                <w:trHeight w:val="51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129117</w:t>
                  </w:r>
                </w:p>
              </w:tc>
              <w:tc>
                <w:tcPr>
                  <w:tcW w:w="31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Potraživanja za naknade koje se refundiraju</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Bolovanje preko HZZO</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color w:val="000000"/>
                      <w:sz w:val="20"/>
                      <w:szCs w:val="20"/>
                    </w:rPr>
                  </w:pPr>
                  <w:r w:rsidRPr="00E27893">
                    <w:rPr>
                      <w:rFonts w:cs="Arial"/>
                      <w:color w:val="000000"/>
                      <w:sz w:val="20"/>
                      <w:szCs w:val="20"/>
                    </w:rPr>
                    <w:t>44.924,99</w:t>
                  </w:r>
                </w:p>
              </w:tc>
              <w:tc>
                <w:tcPr>
                  <w:tcW w:w="124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r>
            <w:tr w:rsidR="00E27893" w:rsidRPr="00E27893" w:rsidTr="00E27893">
              <w:trPr>
                <w:trHeight w:val="51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129130</w:t>
                  </w:r>
                </w:p>
              </w:tc>
              <w:tc>
                <w:tcPr>
                  <w:tcW w:w="31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Potraživanja za dane predujmove za EU projekte</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UKUPNO 129</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44.924,99</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15112</w:t>
                  </w:r>
                </w:p>
              </w:tc>
              <w:tc>
                <w:tcPr>
                  <w:tcW w:w="31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Dionice i udjeli u glavnici banaka</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0,00</w:t>
                  </w:r>
                </w:p>
              </w:tc>
              <w:tc>
                <w:tcPr>
                  <w:tcW w:w="124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UKUPNO 151</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51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16526</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Potraživanja za prehranu i produženi</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56.773,25</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UKUPNO 165</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56.773,25</w:t>
                  </w:r>
                </w:p>
              </w:tc>
            </w:tr>
            <w:tr w:rsidR="00E27893" w:rsidRPr="00E27893" w:rsidTr="00E27893">
              <w:trPr>
                <w:trHeight w:val="8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166140</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Potraživanja od prodaje proizvoda i robe</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xml:space="preserve">HEP Opskrba (solarna struja) 01-0006-22 od 31.10.2022  </w:t>
                  </w:r>
                  <w:proofErr w:type="spellStart"/>
                  <w:r w:rsidRPr="00E27893">
                    <w:rPr>
                      <w:rFonts w:cs="Arial"/>
                      <w:sz w:val="20"/>
                      <w:szCs w:val="20"/>
                    </w:rPr>
                    <w:t>va</w:t>
                  </w:r>
                  <w:proofErr w:type="spellEnd"/>
                  <w:r w:rsidRPr="00E27893">
                    <w:rPr>
                      <w:rFonts w:cs="Arial"/>
                      <w:sz w:val="20"/>
                      <w:szCs w:val="20"/>
                    </w:rPr>
                    <w:t xml:space="preserve"> 02.12.2022</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6,67</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76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166140</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Potraživanja od prodaje proizvoda i robe</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xml:space="preserve">HEP Opskrba (solarna struja) 01-0008-22 od 30.11.2022  </w:t>
                  </w:r>
                  <w:proofErr w:type="spellStart"/>
                  <w:r w:rsidRPr="00E27893">
                    <w:rPr>
                      <w:rFonts w:cs="Arial"/>
                      <w:sz w:val="20"/>
                      <w:szCs w:val="20"/>
                    </w:rPr>
                    <w:t>va</w:t>
                  </w:r>
                  <w:proofErr w:type="spellEnd"/>
                  <w:r w:rsidRPr="00E27893">
                    <w:rPr>
                      <w:rFonts w:cs="Arial"/>
                      <w:sz w:val="20"/>
                      <w:szCs w:val="20"/>
                    </w:rPr>
                    <w:t xml:space="preserve"> 02.01.2023</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0,45</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51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166150</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Potraživanja za prihode od pruženih usluga</w:t>
                  </w:r>
                </w:p>
              </w:tc>
              <w:tc>
                <w:tcPr>
                  <w:tcW w:w="2900" w:type="dxa"/>
                  <w:tcBorders>
                    <w:top w:val="nil"/>
                    <w:left w:val="nil"/>
                    <w:bottom w:val="single" w:sz="4" w:space="0" w:color="auto"/>
                    <w:right w:val="single" w:sz="4" w:space="0" w:color="auto"/>
                  </w:tcBorders>
                  <w:shd w:val="clear" w:color="000000" w:fill="FFFFFF"/>
                  <w:vAlign w:val="bottom"/>
                  <w:hideMark/>
                </w:tcPr>
                <w:p w:rsidR="00E27893" w:rsidRPr="00E27893" w:rsidRDefault="00E27893" w:rsidP="001066AE">
                  <w:pPr>
                    <w:rPr>
                      <w:rFonts w:cs="Arial"/>
                      <w:sz w:val="20"/>
                      <w:szCs w:val="20"/>
                    </w:rPr>
                  </w:pPr>
                  <w:r w:rsidRPr="00E27893">
                    <w:rPr>
                      <w:rFonts w:cs="Arial"/>
                      <w:sz w:val="20"/>
                      <w:szCs w:val="20"/>
                    </w:rPr>
                    <w:t xml:space="preserve">Račun  br. 01-0030/22-20 </w:t>
                  </w:r>
                  <w:proofErr w:type="spellStart"/>
                  <w:r w:rsidRPr="00E27893">
                    <w:rPr>
                      <w:rFonts w:cs="Arial"/>
                      <w:sz w:val="20"/>
                      <w:szCs w:val="20"/>
                    </w:rPr>
                    <w:t>va</w:t>
                  </w:r>
                  <w:proofErr w:type="spellEnd"/>
                  <w:r w:rsidRPr="00E27893">
                    <w:rPr>
                      <w:rFonts w:cs="Arial"/>
                      <w:sz w:val="20"/>
                      <w:szCs w:val="20"/>
                    </w:rPr>
                    <w:t xml:space="preserve"> 14.01.2023</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450,00</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UKUPNO 166</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457,12</w:t>
                  </w:r>
                </w:p>
              </w:tc>
            </w:tr>
            <w:tr w:rsidR="00E27893" w:rsidRPr="00E27893" w:rsidTr="00E27893">
              <w:trPr>
                <w:trHeight w:val="51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167210</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Potraživanja za prihode uplaćene u proračun</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216.140,10</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216.140,10</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1066AE">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169110</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Ispravak potraživanja</w:t>
                  </w:r>
                </w:p>
              </w:tc>
              <w:tc>
                <w:tcPr>
                  <w:tcW w:w="2900" w:type="dxa"/>
                  <w:tcBorders>
                    <w:top w:val="nil"/>
                    <w:left w:val="nil"/>
                    <w:bottom w:val="single" w:sz="4" w:space="0" w:color="auto"/>
                    <w:right w:val="single" w:sz="4" w:space="0" w:color="auto"/>
                  </w:tcBorders>
                  <w:shd w:val="clear" w:color="auto" w:fill="auto"/>
                  <w:vAlign w:val="bottom"/>
                </w:tcPr>
                <w:p w:rsidR="00E27893" w:rsidRPr="00E27893" w:rsidRDefault="001066AE" w:rsidP="00E27893">
                  <w:pPr>
                    <w:rPr>
                      <w:rFonts w:cs="Arial"/>
                      <w:sz w:val="20"/>
                      <w:szCs w:val="20"/>
                    </w:rPr>
                  </w:pPr>
                  <w:r>
                    <w:rPr>
                      <w:rFonts w:cs="Arial"/>
                      <w:sz w:val="20"/>
                      <w:szCs w:val="20"/>
                    </w:rPr>
                    <w:t>Fizičke osobe</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-207,00</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1066AE">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tcPr>
                <w:p w:rsidR="00E27893" w:rsidRPr="00E27893" w:rsidRDefault="00E27893" w:rsidP="00E27893">
                  <w:pPr>
                    <w:rPr>
                      <w:rFonts w:cs="Arial"/>
                      <w:sz w:val="20"/>
                      <w:szCs w:val="20"/>
                    </w:rPr>
                  </w:pP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-618,75</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1066AE">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tcPr>
                <w:p w:rsidR="00E27893" w:rsidRPr="00E27893" w:rsidRDefault="00E27893" w:rsidP="00E27893">
                  <w:pPr>
                    <w:rPr>
                      <w:rFonts w:cs="Arial"/>
                      <w:sz w:val="20"/>
                      <w:szCs w:val="20"/>
                    </w:rPr>
                  </w:pP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-281,28</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1066AE">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tcPr>
                <w:p w:rsidR="00E27893" w:rsidRPr="00E27893" w:rsidRDefault="00E27893" w:rsidP="00E27893">
                  <w:pPr>
                    <w:rPr>
                      <w:rFonts w:cs="Arial"/>
                      <w:sz w:val="20"/>
                      <w:szCs w:val="20"/>
                    </w:rPr>
                  </w:pP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-429,00</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1066AE">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tcPr>
                <w:p w:rsidR="00E27893" w:rsidRPr="00E27893" w:rsidRDefault="00E27893" w:rsidP="00E27893">
                  <w:pPr>
                    <w:rPr>
                      <w:rFonts w:cs="Arial"/>
                      <w:sz w:val="20"/>
                      <w:szCs w:val="20"/>
                    </w:rPr>
                  </w:pP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-618,75</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1066AE">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tcPr>
                <w:p w:rsidR="00E27893" w:rsidRPr="00E27893" w:rsidRDefault="00E27893" w:rsidP="00E27893">
                  <w:pPr>
                    <w:rPr>
                      <w:rFonts w:cs="Arial"/>
                      <w:sz w:val="20"/>
                      <w:szCs w:val="20"/>
                    </w:rPr>
                  </w:pP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-49,00</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-2.203,78</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17211</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Potraživanja od prodaje stana</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UKUPNO 172</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0,00</w:t>
                  </w:r>
                </w:p>
              </w:tc>
            </w:tr>
            <w:tr w:rsidR="00E27893" w:rsidRPr="00E27893" w:rsidTr="00E27893">
              <w:trPr>
                <w:trHeight w:val="51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sz w:val="20"/>
                      <w:szCs w:val="20"/>
                    </w:rPr>
                  </w:pPr>
                  <w:r w:rsidRPr="00E27893">
                    <w:rPr>
                      <w:rFonts w:cs="Arial"/>
                      <w:sz w:val="20"/>
                      <w:szCs w:val="20"/>
                    </w:rPr>
                    <w:t>19311</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Kontinuirani rashodi budućih razdoblja</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Plaća i prijevoz za 12-22COP</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714.246,80</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51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Kontinuirani rashodi budućih razdoblja</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1066AE">
                  <w:pPr>
                    <w:rPr>
                      <w:rFonts w:cs="Arial"/>
                      <w:sz w:val="20"/>
                      <w:szCs w:val="20"/>
                    </w:rPr>
                  </w:pPr>
                  <w:r w:rsidRPr="00E27893">
                    <w:rPr>
                      <w:rFonts w:cs="Arial"/>
                      <w:sz w:val="20"/>
                      <w:szCs w:val="20"/>
                    </w:rPr>
                    <w:t>Plaća za produženi12-</w:t>
                  </w:r>
                  <w:r w:rsidR="001066AE">
                    <w:rPr>
                      <w:rFonts w:cs="Arial"/>
                      <w:sz w:val="20"/>
                      <w:szCs w:val="20"/>
                    </w:rPr>
                    <w:t>22</w:t>
                  </w:r>
                </w:p>
              </w:tc>
              <w:tc>
                <w:tcPr>
                  <w:tcW w:w="1180" w:type="dxa"/>
                  <w:tcBorders>
                    <w:top w:val="nil"/>
                    <w:left w:val="nil"/>
                    <w:bottom w:val="single" w:sz="4" w:space="0" w:color="auto"/>
                    <w:right w:val="single" w:sz="4" w:space="0" w:color="auto"/>
                  </w:tcBorders>
                  <w:shd w:val="clear" w:color="000000" w:fill="FFFFFF"/>
                  <w:noWrap/>
                  <w:vAlign w:val="bottom"/>
                  <w:hideMark/>
                </w:tcPr>
                <w:p w:rsidR="00E27893" w:rsidRPr="00E27893" w:rsidRDefault="00E27893" w:rsidP="00E27893">
                  <w:pPr>
                    <w:jc w:val="right"/>
                    <w:rPr>
                      <w:rFonts w:cs="Arial"/>
                      <w:sz w:val="20"/>
                      <w:szCs w:val="20"/>
                    </w:rPr>
                  </w:pPr>
                  <w:r w:rsidRPr="00E27893">
                    <w:rPr>
                      <w:rFonts w:cs="Arial"/>
                      <w:sz w:val="20"/>
                      <w:szCs w:val="20"/>
                    </w:rPr>
                    <w:t>26.564,51</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b/>
                      <w:bCs/>
                      <w:sz w:val="20"/>
                      <w:szCs w:val="20"/>
                    </w:rPr>
                  </w:pPr>
                  <w:r w:rsidRPr="00E27893">
                    <w:rPr>
                      <w:rFonts w:cs="Arial"/>
                      <w:b/>
                      <w:bCs/>
                      <w:sz w:val="20"/>
                      <w:szCs w:val="20"/>
                    </w:rPr>
                    <w:t> </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UKUPNO 193</w:t>
                  </w:r>
                </w:p>
              </w:tc>
              <w:tc>
                <w:tcPr>
                  <w:tcW w:w="2900" w:type="dxa"/>
                  <w:tcBorders>
                    <w:top w:val="nil"/>
                    <w:left w:val="nil"/>
                    <w:bottom w:val="single" w:sz="4" w:space="0" w:color="auto"/>
                    <w:right w:val="single" w:sz="4" w:space="0" w:color="auto"/>
                  </w:tcBorders>
                  <w:shd w:val="clear" w:color="auto" w:fill="auto"/>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740.811,31</w:t>
                  </w:r>
                </w:p>
              </w:tc>
            </w:tr>
            <w:tr w:rsidR="00E27893" w:rsidRPr="00E27893" w:rsidTr="00E2789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310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SVEUKUPNO POTRAŽIVANJA</w:t>
                  </w:r>
                </w:p>
              </w:tc>
              <w:tc>
                <w:tcPr>
                  <w:tcW w:w="290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rPr>
                      <w:rFonts w:cs="Arial"/>
                      <w:sz w:val="20"/>
                      <w:szCs w:val="20"/>
                    </w:rPr>
                  </w:pPr>
                  <w:r w:rsidRPr="00E27893">
                    <w:rPr>
                      <w:rFonts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7893" w:rsidRPr="00E27893" w:rsidRDefault="00E27893" w:rsidP="00E27893">
                  <w:pPr>
                    <w:jc w:val="right"/>
                    <w:rPr>
                      <w:rFonts w:cs="Arial"/>
                      <w:b/>
                      <w:bCs/>
                      <w:sz w:val="20"/>
                      <w:szCs w:val="20"/>
                    </w:rPr>
                  </w:pPr>
                  <w:r w:rsidRPr="00E27893">
                    <w:rPr>
                      <w:rFonts w:cs="Arial"/>
                      <w:b/>
                      <w:bCs/>
                      <w:sz w:val="20"/>
                      <w:szCs w:val="20"/>
                    </w:rPr>
                    <w:t>1.056.902,99</w:t>
                  </w:r>
                </w:p>
              </w:tc>
            </w:tr>
          </w:tbl>
          <w:p w:rsidR="00377706" w:rsidRPr="00377706" w:rsidRDefault="00377706" w:rsidP="00377706">
            <w:pPr>
              <w:rPr>
                <w:rFonts w:ascii="Times New Roman" w:hAnsi="Times New Roman"/>
                <w:sz w:val="20"/>
                <w:szCs w:val="20"/>
              </w:rPr>
            </w:pPr>
          </w:p>
        </w:tc>
        <w:tc>
          <w:tcPr>
            <w:tcW w:w="3640"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2433"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224"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458"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r>
      <w:tr w:rsidR="00377706" w:rsidRPr="00377706" w:rsidTr="00E27893">
        <w:trPr>
          <w:trHeight w:val="255"/>
        </w:trPr>
        <w:tc>
          <w:tcPr>
            <w:tcW w:w="884"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3640"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2433"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224"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c>
          <w:tcPr>
            <w:tcW w:w="1458" w:type="dxa"/>
            <w:gridSpan w:val="2"/>
            <w:tcBorders>
              <w:top w:val="nil"/>
              <w:left w:val="nil"/>
              <w:bottom w:val="nil"/>
              <w:right w:val="nil"/>
            </w:tcBorders>
            <w:shd w:val="clear" w:color="auto" w:fill="auto"/>
            <w:noWrap/>
            <w:vAlign w:val="bottom"/>
            <w:hideMark/>
          </w:tcPr>
          <w:p w:rsidR="00377706" w:rsidRPr="00377706" w:rsidRDefault="00377706" w:rsidP="00377706">
            <w:pPr>
              <w:rPr>
                <w:rFonts w:ascii="Times New Roman" w:hAnsi="Times New Roman"/>
                <w:sz w:val="20"/>
                <w:szCs w:val="20"/>
              </w:rPr>
            </w:pPr>
          </w:p>
        </w:tc>
      </w:tr>
      <w:tr w:rsidR="00876A46" w:rsidRPr="00892C44" w:rsidTr="00E27893">
        <w:trPr>
          <w:gridBefore w:val="1"/>
          <w:gridAfter w:val="1"/>
          <w:wBefore w:w="93" w:type="dxa"/>
          <w:wAfter w:w="652" w:type="dxa"/>
          <w:trHeight w:val="255"/>
        </w:trPr>
        <w:tc>
          <w:tcPr>
            <w:tcW w:w="3734" w:type="dxa"/>
            <w:gridSpan w:val="2"/>
            <w:tcBorders>
              <w:top w:val="nil"/>
              <w:left w:val="nil"/>
              <w:bottom w:val="nil"/>
              <w:right w:val="nil"/>
            </w:tcBorders>
            <w:shd w:val="clear" w:color="auto" w:fill="auto"/>
            <w:noWrap/>
            <w:vAlign w:val="bottom"/>
          </w:tcPr>
          <w:p w:rsidR="00876A46" w:rsidRPr="00892C44" w:rsidRDefault="00876A46" w:rsidP="00E27893">
            <w:pPr>
              <w:spacing w:after="200" w:line="276" w:lineRule="auto"/>
              <w:rPr>
                <w:rFonts w:cs="Arial"/>
                <w:sz w:val="20"/>
                <w:szCs w:val="20"/>
              </w:rPr>
            </w:pPr>
          </w:p>
        </w:tc>
        <w:tc>
          <w:tcPr>
            <w:tcW w:w="27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r>
      <w:tr w:rsidR="00876A46" w:rsidRPr="00892C44" w:rsidTr="00E27893">
        <w:trPr>
          <w:gridBefore w:val="1"/>
          <w:gridAfter w:val="1"/>
          <w:wBefore w:w="93" w:type="dxa"/>
          <w:wAfter w:w="652" w:type="dxa"/>
          <w:trHeight w:val="255"/>
        </w:trPr>
        <w:tc>
          <w:tcPr>
            <w:tcW w:w="3734" w:type="dxa"/>
            <w:gridSpan w:val="2"/>
            <w:tcBorders>
              <w:top w:val="nil"/>
              <w:left w:val="nil"/>
              <w:bottom w:val="nil"/>
              <w:right w:val="nil"/>
            </w:tcBorders>
            <w:shd w:val="clear" w:color="auto" w:fill="auto"/>
            <w:noWrap/>
            <w:vAlign w:val="bottom"/>
          </w:tcPr>
          <w:p w:rsidR="00876A46" w:rsidRPr="00892C44" w:rsidRDefault="00876A46" w:rsidP="00892C44">
            <w:pPr>
              <w:rPr>
                <w:rFonts w:cs="Arial"/>
                <w:sz w:val="20"/>
                <w:szCs w:val="20"/>
              </w:rPr>
            </w:pPr>
          </w:p>
        </w:tc>
        <w:tc>
          <w:tcPr>
            <w:tcW w:w="2720" w:type="dxa"/>
            <w:gridSpan w:val="2"/>
            <w:tcBorders>
              <w:top w:val="nil"/>
              <w:left w:val="nil"/>
              <w:bottom w:val="nil"/>
              <w:right w:val="nil"/>
            </w:tcBorders>
            <w:shd w:val="clear" w:color="auto" w:fill="auto"/>
            <w:noWrap/>
            <w:vAlign w:val="bottom"/>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tcPr>
          <w:p w:rsidR="00876A46" w:rsidRPr="00892C44" w:rsidRDefault="00876A46" w:rsidP="00892C44">
            <w:pPr>
              <w:rPr>
                <w:rFonts w:cs="Arial"/>
                <w:sz w:val="20"/>
                <w:szCs w:val="20"/>
              </w:rPr>
            </w:pPr>
          </w:p>
        </w:tc>
      </w:tr>
      <w:tr w:rsidR="00876A46" w:rsidRPr="00892C44" w:rsidTr="00E27893">
        <w:trPr>
          <w:gridBefore w:val="1"/>
          <w:gridAfter w:val="1"/>
          <w:wBefore w:w="93" w:type="dxa"/>
          <w:wAfter w:w="652" w:type="dxa"/>
          <w:trHeight w:val="255"/>
        </w:trPr>
        <w:tc>
          <w:tcPr>
            <w:tcW w:w="3734" w:type="dxa"/>
            <w:gridSpan w:val="2"/>
            <w:tcBorders>
              <w:top w:val="nil"/>
              <w:left w:val="nil"/>
              <w:bottom w:val="nil"/>
              <w:right w:val="nil"/>
            </w:tcBorders>
            <w:shd w:val="clear" w:color="auto" w:fill="auto"/>
            <w:noWrap/>
            <w:vAlign w:val="bottom"/>
          </w:tcPr>
          <w:p w:rsidR="00876A46" w:rsidRPr="00892C44" w:rsidRDefault="00876A46" w:rsidP="00892C44">
            <w:pPr>
              <w:rPr>
                <w:rFonts w:cs="Arial"/>
                <w:sz w:val="20"/>
                <w:szCs w:val="20"/>
              </w:rPr>
            </w:pPr>
          </w:p>
        </w:tc>
        <w:tc>
          <w:tcPr>
            <w:tcW w:w="27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r>
      <w:tr w:rsidR="00876A46" w:rsidRPr="00892C44" w:rsidTr="00E27893">
        <w:trPr>
          <w:gridBefore w:val="1"/>
          <w:gridAfter w:val="1"/>
          <w:wBefore w:w="93" w:type="dxa"/>
          <w:wAfter w:w="652" w:type="dxa"/>
          <w:trHeight w:val="80"/>
        </w:trPr>
        <w:tc>
          <w:tcPr>
            <w:tcW w:w="3734"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c>
          <w:tcPr>
            <w:tcW w:w="27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c>
          <w:tcPr>
            <w:tcW w:w="1220" w:type="dxa"/>
            <w:gridSpan w:val="2"/>
            <w:tcBorders>
              <w:top w:val="nil"/>
              <w:left w:val="nil"/>
              <w:bottom w:val="nil"/>
              <w:right w:val="nil"/>
            </w:tcBorders>
            <w:shd w:val="clear" w:color="auto" w:fill="auto"/>
            <w:noWrap/>
            <w:vAlign w:val="bottom"/>
            <w:hideMark/>
          </w:tcPr>
          <w:p w:rsidR="00876A46" w:rsidRPr="00892C44" w:rsidRDefault="00876A46" w:rsidP="00892C44">
            <w:pPr>
              <w:rPr>
                <w:rFonts w:cs="Arial"/>
                <w:sz w:val="20"/>
                <w:szCs w:val="20"/>
              </w:rPr>
            </w:pPr>
          </w:p>
        </w:tc>
      </w:tr>
    </w:tbl>
    <w:p w:rsidR="000D63E2" w:rsidRPr="00E331B6" w:rsidRDefault="001066AE" w:rsidP="00A05936">
      <w:pPr>
        <w:ind w:left="142"/>
        <w:rPr>
          <w:b/>
        </w:rPr>
      </w:pPr>
      <w:r>
        <w:rPr>
          <w:b/>
        </w:rPr>
        <w:t>5</w:t>
      </w:r>
      <w:r w:rsidR="00A05936" w:rsidRPr="00E331B6">
        <w:rPr>
          <w:b/>
        </w:rPr>
        <w:t>.</w:t>
      </w:r>
      <w:r>
        <w:rPr>
          <w:b/>
        </w:rPr>
        <w:t xml:space="preserve"> 15</w:t>
      </w:r>
      <w:r w:rsidR="000D63E2" w:rsidRPr="00E331B6">
        <w:rPr>
          <w:b/>
        </w:rPr>
        <w:t xml:space="preserve">  Dionice i udjeli u glavnici</w:t>
      </w:r>
    </w:p>
    <w:p w:rsidR="000D63E2" w:rsidRPr="0081640D" w:rsidRDefault="000D63E2" w:rsidP="000D63E2">
      <w:pPr>
        <w:pStyle w:val="Odlomakpopisa"/>
      </w:pPr>
    </w:p>
    <w:p w:rsidR="002A754C" w:rsidRDefault="001066AE" w:rsidP="000D63E2">
      <w:pPr>
        <w:pStyle w:val="Odlomakpopisa"/>
      </w:pPr>
      <w:r>
        <w:t xml:space="preserve">U 2022. godini prodali smo </w:t>
      </w:r>
      <w:r w:rsidR="000D63E2" w:rsidRPr="0081640D">
        <w:t xml:space="preserve"> 45 dionica PBZ n</w:t>
      </w:r>
      <w:r>
        <w:t>ominalne vrijednosti 4500,00 kn po tržišnoj vrijednosti.</w:t>
      </w:r>
    </w:p>
    <w:p w:rsidR="003F2F29" w:rsidRDefault="003F2F29" w:rsidP="000D63E2">
      <w:pPr>
        <w:pStyle w:val="Odlomakpopisa"/>
      </w:pPr>
    </w:p>
    <w:p w:rsidR="00635FED" w:rsidRPr="0081640D" w:rsidRDefault="00635FED" w:rsidP="000D63E2">
      <w:pPr>
        <w:pStyle w:val="Odlomakpopisa"/>
      </w:pPr>
      <w:r>
        <w:tab/>
      </w:r>
      <w:r>
        <w:tab/>
      </w:r>
    </w:p>
    <w:p w:rsidR="007A3F34" w:rsidRDefault="003F2F29" w:rsidP="00635FED">
      <w:pPr>
        <w:rPr>
          <w:b/>
        </w:rPr>
      </w:pPr>
      <w:r>
        <w:rPr>
          <w:b/>
        </w:rPr>
        <w:t>6</w:t>
      </w:r>
      <w:r w:rsidR="00635FED" w:rsidRPr="00E331B6">
        <w:rPr>
          <w:b/>
        </w:rPr>
        <w:t xml:space="preserve">. </w:t>
      </w:r>
      <w:r>
        <w:rPr>
          <w:b/>
        </w:rPr>
        <w:t xml:space="preserve">169 </w:t>
      </w:r>
      <w:r w:rsidR="00635FED">
        <w:t xml:space="preserve">  </w:t>
      </w:r>
      <w:r w:rsidR="00635FED" w:rsidRPr="00EE5011">
        <w:rPr>
          <w:b/>
        </w:rPr>
        <w:t>Ispravak vrijednosti potraživanja</w:t>
      </w:r>
    </w:p>
    <w:p w:rsidR="003F2F29" w:rsidRDefault="003F2F29" w:rsidP="00635FED"/>
    <w:p w:rsidR="003F2F29" w:rsidRDefault="00635FED" w:rsidP="00EE5011">
      <w:r>
        <w:t xml:space="preserve">                     </w:t>
      </w:r>
      <w:r w:rsidR="001066AE">
        <w:t>I</w:t>
      </w:r>
      <w:r>
        <w:t>zvršili</w:t>
      </w:r>
      <w:r w:rsidR="001066AE">
        <w:t xml:space="preserve"> smo</w:t>
      </w:r>
      <w:r>
        <w:t xml:space="preserve"> ispravak potraživanja za kašnjenje u naplati preko godinu dana i za kašnjenje preko tri godine. Potraživanja se odnose na neplaćene račune za prehranu bivših učenika. Unatoč poslanim opomenama, dužnici su se oglušili</w:t>
      </w:r>
      <w:r w:rsidR="0083589B">
        <w:t>,</w:t>
      </w:r>
      <w:r>
        <w:t xml:space="preserve"> a pojedinačne vrijednosti nenaplaćenih potraživanja su neisplative za </w:t>
      </w:r>
      <w:proofErr w:type="spellStart"/>
      <w:r>
        <w:t>utuživanje</w:t>
      </w:r>
      <w:proofErr w:type="spellEnd"/>
      <w:r>
        <w:t>.</w:t>
      </w:r>
    </w:p>
    <w:p w:rsidR="004E4FD3" w:rsidRDefault="004E4FD3" w:rsidP="00EE5011">
      <w:r>
        <w:tab/>
      </w:r>
      <w:r>
        <w:tab/>
      </w:r>
      <w:r>
        <w:tab/>
      </w:r>
      <w:r>
        <w:tab/>
      </w:r>
      <w:r>
        <w:tab/>
      </w:r>
      <w:r>
        <w:tab/>
      </w:r>
      <w:r>
        <w:tab/>
      </w:r>
      <w:r>
        <w:tab/>
      </w:r>
      <w:r>
        <w:tab/>
      </w:r>
      <w:r>
        <w:tab/>
      </w:r>
      <w:r>
        <w:tab/>
      </w:r>
      <w:r>
        <w:tab/>
      </w:r>
      <w:r>
        <w:tab/>
      </w:r>
      <w:r>
        <w:tab/>
      </w:r>
    </w:p>
    <w:tbl>
      <w:tblPr>
        <w:tblStyle w:val="Reetkatablice"/>
        <w:tblW w:w="0" w:type="auto"/>
        <w:tblInd w:w="720" w:type="dxa"/>
        <w:tblLook w:val="04A0" w:firstRow="1" w:lastRow="0" w:firstColumn="1" w:lastColumn="0" w:noHBand="0" w:noVBand="1"/>
      </w:tblPr>
      <w:tblGrid>
        <w:gridCol w:w="1852"/>
        <w:gridCol w:w="1756"/>
        <w:gridCol w:w="1756"/>
        <w:gridCol w:w="1781"/>
      </w:tblGrid>
      <w:tr w:rsidR="00EE5011" w:rsidTr="00E27893">
        <w:tc>
          <w:tcPr>
            <w:tcW w:w="7145" w:type="dxa"/>
            <w:gridSpan w:val="4"/>
          </w:tcPr>
          <w:p w:rsidR="00EE5011" w:rsidRDefault="00EE5011" w:rsidP="00EE5011">
            <w:pPr>
              <w:pStyle w:val="Odlomakpopisa"/>
              <w:ind w:left="0"/>
              <w:jc w:val="center"/>
            </w:pPr>
            <w:r>
              <w:t>Rekapitulacija stavaka ispravka vrijednosti</w:t>
            </w:r>
          </w:p>
        </w:tc>
      </w:tr>
      <w:tr w:rsidR="00EE5011" w:rsidTr="00EE5011">
        <w:tc>
          <w:tcPr>
            <w:tcW w:w="1852" w:type="dxa"/>
          </w:tcPr>
          <w:p w:rsidR="00EE5011" w:rsidRDefault="00EE5011" w:rsidP="004E4FD3">
            <w:pPr>
              <w:pStyle w:val="Odlomakpopisa"/>
              <w:ind w:left="0"/>
            </w:pPr>
            <w:r>
              <w:t>Otvoreni iznos neplaćenih računa</w:t>
            </w:r>
          </w:p>
          <w:p w:rsidR="00EE5011" w:rsidRDefault="00EE5011" w:rsidP="004E4FD3">
            <w:pPr>
              <w:pStyle w:val="Odlomakpopisa"/>
              <w:ind w:left="0"/>
            </w:pPr>
          </w:p>
        </w:tc>
        <w:tc>
          <w:tcPr>
            <w:tcW w:w="1756" w:type="dxa"/>
          </w:tcPr>
          <w:p w:rsidR="00EE5011" w:rsidRDefault="00EE5011" w:rsidP="004E4FD3">
            <w:pPr>
              <w:pStyle w:val="Odlomakpopisa"/>
              <w:ind w:left="0"/>
            </w:pPr>
            <w:r>
              <w:t>Ispravak vrijednosti 50%</w:t>
            </w:r>
          </w:p>
        </w:tc>
        <w:tc>
          <w:tcPr>
            <w:tcW w:w="1756" w:type="dxa"/>
          </w:tcPr>
          <w:p w:rsidR="00EE5011" w:rsidRDefault="00EE5011" w:rsidP="004E4FD3">
            <w:pPr>
              <w:pStyle w:val="Odlomakpopisa"/>
              <w:ind w:left="0"/>
            </w:pPr>
            <w:r>
              <w:t>Ispravak vrijednosti 100%</w:t>
            </w:r>
          </w:p>
        </w:tc>
        <w:tc>
          <w:tcPr>
            <w:tcW w:w="1781" w:type="dxa"/>
          </w:tcPr>
          <w:p w:rsidR="00EE5011" w:rsidRDefault="00EE5011" w:rsidP="004E4FD3">
            <w:pPr>
              <w:pStyle w:val="Odlomakpopisa"/>
              <w:ind w:left="0"/>
            </w:pPr>
            <w:r>
              <w:t>Sveukupno</w:t>
            </w:r>
          </w:p>
        </w:tc>
      </w:tr>
      <w:tr w:rsidR="00EE5011" w:rsidTr="00EE5011">
        <w:tc>
          <w:tcPr>
            <w:tcW w:w="1852" w:type="dxa"/>
          </w:tcPr>
          <w:p w:rsidR="00EE5011" w:rsidRDefault="00EE5011" w:rsidP="003F2F29">
            <w:pPr>
              <w:pStyle w:val="Odlomakpopisa"/>
              <w:ind w:left="0"/>
            </w:pPr>
            <w:r>
              <w:t>2.</w:t>
            </w:r>
            <w:r w:rsidR="003F2F29">
              <w:t>252,80</w:t>
            </w:r>
          </w:p>
        </w:tc>
        <w:tc>
          <w:tcPr>
            <w:tcW w:w="1756" w:type="dxa"/>
          </w:tcPr>
          <w:p w:rsidR="00EE5011" w:rsidRDefault="003F2F29" w:rsidP="004E4FD3">
            <w:pPr>
              <w:pStyle w:val="Odlomakpopisa"/>
              <w:ind w:left="0"/>
            </w:pPr>
            <w:r>
              <w:t>49,00</w:t>
            </w:r>
          </w:p>
        </w:tc>
        <w:tc>
          <w:tcPr>
            <w:tcW w:w="1756" w:type="dxa"/>
          </w:tcPr>
          <w:p w:rsidR="00EE5011" w:rsidRDefault="003F2F29" w:rsidP="004E4FD3">
            <w:pPr>
              <w:pStyle w:val="Odlomakpopisa"/>
              <w:ind w:left="0"/>
            </w:pPr>
            <w:r>
              <w:t>2154,78</w:t>
            </w:r>
          </w:p>
        </w:tc>
        <w:tc>
          <w:tcPr>
            <w:tcW w:w="1781" w:type="dxa"/>
          </w:tcPr>
          <w:p w:rsidR="00EE5011" w:rsidRDefault="003F2F29" w:rsidP="004E4FD3">
            <w:pPr>
              <w:pStyle w:val="Odlomakpopisa"/>
              <w:ind w:left="0"/>
            </w:pPr>
            <w:r>
              <w:t>2203,78</w:t>
            </w:r>
          </w:p>
        </w:tc>
      </w:tr>
    </w:tbl>
    <w:p w:rsidR="004E4FD3" w:rsidRDefault="004E4FD3" w:rsidP="004E4FD3">
      <w:pPr>
        <w:pStyle w:val="Odlomakpopisa"/>
      </w:pPr>
      <w:r>
        <w:tab/>
      </w:r>
      <w:r>
        <w:tab/>
      </w:r>
      <w:r>
        <w:tab/>
      </w:r>
      <w:r>
        <w:tab/>
      </w:r>
      <w:r>
        <w:tab/>
      </w:r>
      <w:r>
        <w:tab/>
      </w:r>
    </w:p>
    <w:p w:rsidR="00EE5011" w:rsidRDefault="00EE5011" w:rsidP="004E4FD3">
      <w:pPr>
        <w:pStyle w:val="Odlomakpopisa"/>
      </w:pPr>
    </w:p>
    <w:p w:rsidR="002A754C" w:rsidRPr="00E331B6" w:rsidRDefault="003F2F29" w:rsidP="00A05936">
      <w:pPr>
        <w:ind w:left="142"/>
        <w:rPr>
          <w:b/>
        </w:rPr>
      </w:pPr>
      <w:r>
        <w:t>7</w:t>
      </w:r>
      <w:r w:rsidR="00A05936" w:rsidRPr="00E331B6">
        <w:rPr>
          <w:b/>
        </w:rPr>
        <w:t>.</w:t>
      </w:r>
      <w:r>
        <w:rPr>
          <w:b/>
        </w:rPr>
        <w:t xml:space="preserve">193 </w:t>
      </w:r>
      <w:r w:rsidR="002A754C" w:rsidRPr="00E331B6">
        <w:rPr>
          <w:b/>
        </w:rPr>
        <w:t xml:space="preserve"> Rashodi budućih razdoblja i nedospjela naplata prihoda</w:t>
      </w:r>
    </w:p>
    <w:p w:rsidR="002A754C" w:rsidRPr="0081640D" w:rsidRDefault="002A754C" w:rsidP="002A754C">
      <w:pPr>
        <w:pStyle w:val="Odlomakpopisa"/>
      </w:pPr>
    </w:p>
    <w:p w:rsidR="00B8365D" w:rsidRDefault="001D2311" w:rsidP="00B8365D">
      <w:pPr>
        <w:pStyle w:val="Odlomakpopisa"/>
      </w:pPr>
      <w:r w:rsidRPr="0081640D">
        <w:t>Obračunata plaća za</w:t>
      </w:r>
      <w:r w:rsidR="00B8365D">
        <w:t xml:space="preserve"> 12/</w:t>
      </w:r>
      <w:r w:rsidR="002747B5">
        <w:t>2</w:t>
      </w:r>
      <w:r w:rsidR="003F2F29">
        <w:t>2</w:t>
      </w:r>
      <w:r w:rsidR="00A60C59">
        <w:t xml:space="preserve"> </w:t>
      </w:r>
      <w:r w:rsidR="000A15B2">
        <w:t>za redovne plaće i</w:t>
      </w:r>
      <w:r w:rsidR="00B8365D">
        <w:t xml:space="preserve"> plać</w:t>
      </w:r>
      <w:r w:rsidR="000A15B2">
        <w:t>a</w:t>
      </w:r>
      <w:r w:rsidR="00B8365D">
        <w:t xml:space="preserve"> učitelj</w:t>
      </w:r>
      <w:r w:rsidR="000A15B2">
        <w:t>ic</w:t>
      </w:r>
      <w:r w:rsidR="003F2F29">
        <w:t>a</w:t>
      </w:r>
      <w:r w:rsidR="00B8365D">
        <w:t xml:space="preserve"> u produženom boravku</w:t>
      </w:r>
      <w:r w:rsidR="000A15B2">
        <w:t>.</w:t>
      </w:r>
      <w:r w:rsidR="00B8365D">
        <w:t xml:space="preserve"> </w:t>
      </w:r>
    </w:p>
    <w:p w:rsidR="002747B5" w:rsidRDefault="002747B5" w:rsidP="00B8365D">
      <w:pPr>
        <w:pStyle w:val="Odlomakpopisa"/>
      </w:pPr>
    </w:p>
    <w:p w:rsidR="00E331B6" w:rsidRDefault="00E331B6" w:rsidP="00B8365D">
      <w:pPr>
        <w:pStyle w:val="Odlomakpopisa"/>
      </w:pPr>
    </w:p>
    <w:p w:rsidR="002A754C" w:rsidRPr="00A014A9" w:rsidRDefault="003F2F29" w:rsidP="00A05936">
      <w:pPr>
        <w:ind w:left="142"/>
      </w:pPr>
      <w:r>
        <w:rPr>
          <w:b/>
        </w:rPr>
        <w:t>8</w:t>
      </w:r>
      <w:r w:rsidR="00A05936" w:rsidRPr="00E331B6">
        <w:rPr>
          <w:b/>
        </w:rPr>
        <w:t>.</w:t>
      </w:r>
      <w:r w:rsidR="00A014A9">
        <w:rPr>
          <w:b/>
        </w:rPr>
        <w:t xml:space="preserve">  2</w:t>
      </w:r>
      <w:r w:rsidR="00A305BB" w:rsidRPr="00E331B6">
        <w:rPr>
          <w:b/>
        </w:rPr>
        <w:t xml:space="preserve"> Obveze – </w:t>
      </w:r>
      <w:r w:rsidR="00A305BB" w:rsidRPr="00A014A9">
        <w:t xml:space="preserve">detaljno </w:t>
      </w:r>
      <w:r w:rsidR="00884245" w:rsidRPr="00A014A9">
        <w:t xml:space="preserve">su razrađene </w:t>
      </w:r>
      <w:r w:rsidR="00A305BB" w:rsidRPr="00A014A9">
        <w:t>u prilogu bilješkama s popisom obveza.</w:t>
      </w:r>
    </w:p>
    <w:p w:rsidR="00786042" w:rsidRDefault="00A014A9" w:rsidP="00A05936">
      <w:pPr>
        <w:ind w:left="142"/>
      </w:pPr>
      <w:r w:rsidRPr="00A014A9">
        <w:t xml:space="preserve">            I           Znatnije su smanjene obveze u odnosu na početno stanje jer su izvršene refundacije bolovanja od strane HZZO, otplaćen dio kredita</w:t>
      </w:r>
      <w:r w:rsidR="00786042">
        <w:t>,</w:t>
      </w:r>
      <w:r w:rsidRPr="00A014A9">
        <w:t xml:space="preserve"> a samim tim i smanjen iznos kamata na kredit.</w:t>
      </w:r>
    </w:p>
    <w:p w:rsidR="00786042" w:rsidRDefault="00786042" w:rsidP="00A05936">
      <w:pPr>
        <w:ind w:left="142"/>
      </w:pPr>
    </w:p>
    <w:p w:rsidR="00E331B6" w:rsidRDefault="00E331B6" w:rsidP="005B5600"/>
    <w:p w:rsidR="005B5600" w:rsidRPr="00E331B6" w:rsidRDefault="00A014A9" w:rsidP="00A05936">
      <w:pPr>
        <w:ind w:left="142"/>
        <w:rPr>
          <w:b/>
        </w:rPr>
      </w:pPr>
      <w:r>
        <w:rPr>
          <w:b/>
        </w:rPr>
        <w:t>9</w:t>
      </w:r>
      <w:r w:rsidR="00A05936" w:rsidRPr="00E331B6">
        <w:rPr>
          <w:b/>
        </w:rPr>
        <w:t>.</w:t>
      </w:r>
      <w:r>
        <w:rPr>
          <w:b/>
        </w:rPr>
        <w:t xml:space="preserve"> 26</w:t>
      </w:r>
      <w:r w:rsidR="005B5600" w:rsidRPr="00E331B6">
        <w:rPr>
          <w:b/>
        </w:rPr>
        <w:t xml:space="preserve"> Obveze za kredite i zajmove</w:t>
      </w:r>
    </w:p>
    <w:p w:rsidR="005B5600" w:rsidRDefault="005B5600" w:rsidP="005B5600">
      <w:r>
        <w:t xml:space="preserve">            </w:t>
      </w:r>
    </w:p>
    <w:p w:rsidR="005B5600" w:rsidRDefault="005B5600" w:rsidP="005B5600">
      <w:pPr>
        <w:ind w:left="360"/>
      </w:pPr>
      <w:r>
        <w:t xml:space="preserve">      </w:t>
      </w:r>
      <w:r w:rsidRPr="00FC63A3">
        <w:t>Za potrebe energetske obnove, a prema Odluci gradskog vijeća Kutina, škola je digla dugoročni kredit u iznosu 5. 041.000,00 kn  s rokom otplate 5 godina i početkom otplate 1-2019, te kamatnom stopom 2,15% godišnje, fiksno.</w:t>
      </w:r>
      <w:r w:rsidR="00B21C7A" w:rsidRPr="00FC63A3">
        <w:t xml:space="preserve"> </w:t>
      </w:r>
      <w:r w:rsidR="003D0CEE" w:rsidRPr="00FC63A3">
        <w:t xml:space="preserve">Preostali dio kredita je </w:t>
      </w:r>
      <w:r w:rsidR="00A014A9">
        <w:t>207.419,52 kn koji se treba otplatiti u sljedećoj godini.</w:t>
      </w:r>
    </w:p>
    <w:p w:rsidR="00545794" w:rsidRDefault="00545794" w:rsidP="005B5600">
      <w:pPr>
        <w:ind w:left="360"/>
      </w:pPr>
    </w:p>
    <w:p w:rsidR="005B5600" w:rsidRDefault="005B5600" w:rsidP="005B5600">
      <w:pPr>
        <w:ind w:left="360"/>
      </w:pPr>
    </w:p>
    <w:p w:rsidR="00545794" w:rsidRDefault="00545794" w:rsidP="005B5600">
      <w:pPr>
        <w:ind w:left="360"/>
      </w:pPr>
    </w:p>
    <w:p w:rsidR="00545794" w:rsidRDefault="00545794" w:rsidP="005B5600">
      <w:pPr>
        <w:ind w:left="360"/>
      </w:pPr>
    </w:p>
    <w:p w:rsidR="00545794" w:rsidRDefault="00545794" w:rsidP="005B5600">
      <w:pPr>
        <w:ind w:left="360"/>
      </w:pPr>
    </w:p>
    <w:p w:rsidR="00545794" w:rsidRDefault="00545794" w:rsidP="005B5600">
      <w:pPr>
        <w:ind w:left="360"/>
      </w:pPr>
    </w:p>
    <w:p w:rsidR="00545794" w:rsidRDefault="00545794" w:rsidP="00116123">
      <w:pPr>
        <w:ind w:left="142"/>
        <w:rPr>
          <w:b/>
        </w:rPr>
      </w:pPr>
    </w:p>
    <w:p w:rsidR="001E094B" w:rsidRPr="0092636F" w:rsidRDefault="00786042" w:rsidP="00116123">
      <w:pPr>
        <w:ind w:left="142"/>
        <w:rPr>
          <w:b/>
        </w:rPr>
      </w:pPr>
      <w:r w:rsidRPr="0092636F">
        <w:rPr>
          <w:b/>
        </w:rPr>
        <w:t>10</w:t>
      </w:r>
      <w:r w:rsidR="00A05936" w:rsidRPr="0092636F">
        <w:rPr>
          <w:b/>
        </w:rPr>
        <w:t>.</w:t>
      </w:r>
      <w:r w:rsidRPr="0092636F">
        <w:rPr>
          <w:b/>
        </w:rPr>
        <w:t xml:space="preserve"> 922</w:t>
      </w:r>
      <w:r w:rsidR="00116123" w:rsidRPr="0092636F">
        <w:rPr>
          <w:b/>
        </w:rPr>
        <w:t xml:space="preserve"> Višak/manjak prihoda</w:t>
      </w:r>
    </w:p>
    <w:p w:rsidR="001E094B" w:rsidRPr="0092636F" w:rsidRDefault="00A305BB" w:rsidP="001E094B">
      <w:pPr>
        <w:pStyle w:val="Odlomakpopisa"/>
      </w:pPr>
      <w:r w:rsidRPr="0092636F">
        <w:t xml:space="preserve"> U 20</w:t>
      </w:r>
      <w:r w:rsidR="002747B5" w:rsidRPr="0092636F">
        <w:t>2</w:t>
      </w:r>
      <w:r w:rsidR="00786042" w:rsidRPr="0092636F">
        <w:t>2</w:t>
      </w:r>
      <w:r w:rsidRPr="0092636F">
        <w:t>. godini o</w:t>
      </w:r>
      <w:r w:rsidR="001E094B" w:rsidRPr="0092636F">
        <w:t xml:space="preserve">stvaren je </w:t>
      </w:r>
      <w:r w:rsidR="00AE53AD" w:rsidRPr="0092636F">
        <w:t>manjak</w:t>
      </w:r>
      <w:r w:rsidR="001E094B" w:rsidRPr="0092636F">
        <w:t xml:space="preserve"> </w:t>
      </w:r>
      <w:r w:rsidR="00AA61C5" w:rsidRPr="0092636F">
        <w:t xml:space="preserve"> prihoda i </w:t>
      </w:r>
      <w:r w:rsidR="00C90603" w:rsidRPr="0092636F">
        <w:t xml:space="preserve">primitaka od financijske imovine u iznosu </w:t>
      </w:r>
      <w:r w:rsidR="00786042" w:rsidRPr="0092636F">
        <w:t>170.069,52</w:t>
      </w:r>
      <w:r w:rsidR="00C90603" w:rsidRPr="0092636F">
        <w:t>, višak prihoda</w:t>
      </w:r>
      <w:r w:rsidR="001E094B" w:rsidRPr="0092636F">
        <w:t xml:space="preserve"> poslovanja</w:t>
      </w:r>
      <w:r w:rsidR="00C90603" w:rsidRPr="0092636F">
        <w:t xml:space="preserve"> u iznosu </w:t>
      </w:r>
      <w:r w:rsidR="00786042" w:rsidRPr="0092636F">
        <w:t>502.367,98</w:t>
      </w:r>
      <w:r w:rsidR="003D0CEE" w:rsidRPr="0092636F">
        <w:t xml:space="preserve"> kn</w:t>
      </w:r>
      <w:r w:rsidR="00C90603" w:rsidRPr="0092636F">
        <w:t>, te</w:t>
      </w:r>
      <w:r w:rsidR="001E094B" w:rsidRPr="0092636F">
        <w:t xml:space="preserve"> manjak p</w:t>
      </w:r>
      <w:r w:rsidR="00C90603" w:rsidRPr="0092636F">
        <w:t xml:space="preserve">rihoda od nefinancijske imovine u iznosu </w:t>
      </w:r>
      <w:r w:rsidR="00786042" w:rsidRPr="0092636F">
        <w:t>236.293,83</w:t>
      </w:r>
    </w:p>
    <w:p w:rsidR="001E094B" w:rsidRPr="0092636F" w:rsidRDefault="001E094B" w:rsidP="001E094B">
      <w:pPr>
        <w:pStyle w:val="Odlomakpopisa"/>
      </w:pPr>
      <w:r w:rsidRPr="0092636F">
        <w:t xml:space="preserve">Sukladno čl. </w:t>
      </w:r>
      <w:r w:rsidR="002A658D" w:rsidRPr="0092636F">
        <w:t>82</w:t>
      </w:r>
      <w:r w:rsidRPr="0092636F">
        <w:t xml:space="preserve">. </w:t>
      </w:r>
      <w:r w:rsidR="00384136" w:rsidRPr="0092636F">
        <w:t xml:space="preserve"> stavak </w:t>
      </w:r>
      <w:r w:rsidR="002A658D" w:rsidRPr="0092636F">
        <w:t>1</w:t>
      </w:r>
      <w:r w:rsidR="00384136" w:rsidRPr="0092636F">
        <w:t xml:space="preserve">. </w:t>
      </w:r>
      <w:r w:rsidR="002A658D" w:rsidRPr="0092636F">
        <w:t>Pravilnika</w:t>
      </w:r>
      <w:r w:rsidR="00384136" w:rsidRPr="0092636F">
        <w:t>,</w:t>
      </w:r>
      <w:r w:rsidRPr="0092636F">
        <w:t xml:space="preserve"> provedena je korekcija rezultata za </w:t>
      </w:r>
      <w:r w:rsidR="00AA61C5" w:rsidRPr="0092636F">
        <w:t xml:space="preserve">prijenose kapitalnih sredstava u iznosu </w:t>
      </w:r>
      <w:r w:rsidR="00786042" w:rsidRPr="0092636F">
        <w:t>199.931,20</w:t>
      </w:r>
      <w:r w:rsidR="00AA61C5" w:rsidRPr="0092636F">
        <w:t>,</w:t>
      </w:r>
      <w:r w:rsidR="00786042" w:rsidRPr="0092636F">
        <w:t xml:space="preserve"> </w:t>
      </w:r>
      <w:r w:rsidR="00AA61C5" w:rsidRPr="0092636F">
        <w:t>kn</w:t>
      </w:r>
    </w:p>
    <w:p w:rsidR="004F0914" w:rsidRPr="0092636F" w:rsidRDefault="004F0914" w:rsidP="001E094B">
      <w:pPr>
        <w:pStyle w:val="Odlomakpopisa"/>
      </w:pPr>
    </w:p>
    <w:p w:rsidR="002A658D" w:rsidRPr="0092636F" w:rsidRDefault="002A658D" w:rsidP="001E094B">
      <w:pPr>
        <w:pStyle w:val="Odlomakpopisa"/>
      </w:pPr>
      <w:r w:rsidRPr="0092636F">
        <w:t xml:space="preserve">Korekcijom </w:t>
      </w:r>
      <w:r w:rsidR="00AA61C5" w:rsidRPr="0092636F">
        <w:t>smo</w:t>
      </w:r>
      <w:r w:rsidRPr="0092636F">
        <w:t xml:space="preserve"> višak poslovanja </w:t>
      </w:r>
      <w:r w:rsidR="00B8675F" w:rsidRPr="0092636F">
        <w:t>umanji</w:t>
      </w:r>
      <w:r w:rsidR="00E63C47" w:rsidRPr="0092636F">
        <w:t xml:space="preserve">li </w:t>
      </w:r>
      <w:r w:rsidR="00B8675F" w:rsidRPr="0092636F">
        <w:t xml:space="preserve"> manjak</w:t>
      </w:r>
      <w:r w:rsidRPr="0092636F">
        <w:t xml:space="preserve"> od nefinancijske imovine</w:t>
      </w:r>
      <w:r w:rsidR="00B8675F" w:rsidRPr="0092636F">
        <w:t>.</w:t>
      </w:r>
    </w:p>
    <w:p w:rsidR="00116123" w:rsidRDefault="00CA5745" w:rsidP="008C3500">
      <w:pPr>
        <w:pStyle w:val="Odlomakpopisa"/>
      </w:pPr>
      <w:r w:rsidRPr="0092636F">
        <w:t>P</w:t>
      </w:r>
      <w:r w:rsidR="00113FE9" w:rsidRPr="0092636F">
        <w:t>odatak u Bilanci je naveden nakon provedene korekcije rezultata i razlikuje se od podataka u Obrascu PR</w:t>
      </w:r>
      <w:r w:rsidR="00AA61C5" w:rsidRPr="0092636F">
        <w:t>-RAS za navedenu korekciju.</w:t>
      </w:r>
    </w:p>
    <w:p w:rsidR="00FC63A3" w:rsidRDefault="00624C78" w:rsidP="008C3500">
      <w:pPr>
        <w:pStyle w:val="Odlomakpopisa"/>
      </w:pPr>
      <w:r>
        <w:t xml:space="preserve">U 2022. godini promijenjen je rezultat poslovanja za neriješena knjiženja prilikom prelaska na gradsku riznicu. Škola je platila obveze iz vlastitih sredstava, a ta sredstva nismo mogli </w:t>
      </w:r>
      <w:proofErr w:type="spellStart"/>
      <w:r>
        <w:t>oprihodovati</w:t>
      </w:r>
      <w:proofErr w:type="spellEnd"/>
      <w:r>
        <w:t xml:space="preserve"> po nijednom izvoru zbog načina knjiženja i prelaska u riznicu. Ove godine, u dogovoru s Gradom izvršena su knjiženja povećanja viška poslovanja i povećanja konta 167210 Potraživanja proračunskih korisnika za sredstva uplaćena u proračun. Iz tog razloga se razlikuju stavke prenesenog viška poslovanja od iznosa prethodnom izvještaju.</w:t>
      </w:r>
    </w:p>
    <w:p w:rsidR="00624C78" w:rsidRDefault="00624C78" w:rsidP="008C3500">
      <w:pPr>
        <w:pStyle w:val="Odlomakpopisa"/>
      </w:pPr>
      <w:r>
        <w:t>S vlastitog ŽR u 2018. godini plaćeni su iznosi: izvor 4.3.   14.387,22</w:t>
      </w:r>
    </w:p>
    <w:p w:rsidR="00624C78" w:rsidRDefault="00624C78" w:rsidP="008C3500">
      <w:pPr>
        <w:pStyle w:val="Odlomakpopisa"/>
      </w:pPr>
      <w:r>
        <w:tab/>
      </w:r>
      <w:r>
        <w:tab/>
      </w:r>
      <w:r>
        <w:tab/>
      </w:r>
      <w:r>
        <w:tab/>
      </w:r>
      <w:r>
        <w:tab/>
      </w:r>
      <w:r>
        <w:tab/>
      </w:r>
      <w:r>
        <w:tab/>
        <w:t xml:space="preserve">          1.2.   16.275,02</w:t>
      </w:r>
    </w:p>
    <w:p w:rsidR="00624C78" w:rsidRDefault="00624C78" w:rsidP="008C3500">
      <w:pPr>
        <w:pStyle w:val="Odlomakpopisa"/>
      </w:pPr>
      <w:r>
        <w:tab/>
      </w:r>
      <w:r>
        <w:tab/>
      </w:r>
      <w:r>
        <w:tab/>
      </w:r>
      <w:r>
        <w:tab/>
      </w:r>
      <w:r>
        <w:tab/>
      </w:r>
      <w:r>
        <w:tab/>
      </w:r>
      <w:r>
        <w:tab/>
      </w:r>
      <w:r>
        <w:tab/>
        <w:t>3.1.     2.532,27.</w:t>
      </w:r>
    </w:p>
    <w:p w:rsidR="00624C78" w:rsidRDefault="00624C78" w:rsidP="008C3500">
      <w:pPr>
        <w:pStyle w:val="Odlomakpopisa"/>
      </w:pPr>
      <w:r>
        <w:t>Ukupan iznos povećanja rezultata 33.194,27 kn.</w:t>
      </w:r>
    </w:p>
    <w:p w:rsidR="00624C78" w:rsidRDefault="00624C78" w:rsidP="008C3500">
      <w:pPr>
        <w:pStyle w:val="Odlomakpopisa"/>
      </w:pPr>
      <w:r>
        <w:t>Također je zatvorena obveza za povrat</w:t>
      </w:r>
      <w:r w:rsidR="00C66FB7">
        <w:t xml:space="preserve"> preplaćenog računa u prethodnim godinama, u iznosu od 21 kn knjižena na rezultat poslovanja iz izvora 3.5.</w:t>
      </w:r>
    </w:p>
    <w:p w:rsidR="00624C78" w:rsidRDefault="00624C78" w:rsidP="008C3500">
      <w:pPr>
        <w:pStyle w:val="Odlomakpopisa"/>
      </w:pPr>
    </w:p>
    <w:p w:rsidR="00FC63A3" w:rsidRDefault="008C3500" w:rsidP="00AE53AD">
      <w:r>
        <w:t xml:space="preserve">   </w:t>
      </w:r>
    </w:p>
    <w:tbl>
      <w:tblPr>
        <w:tblStyle w:val="Reetkatablice"/>
        <w:tblW w:w="0" w:type="auto"/>
        <w:jc w:val="center"/>
        <w:tblLook w:val="04A0" w:firstRow="1" w:lastRow="0" w:firstColumn="1" w:lastColumn="0" w:noHBand="0" w:noVBand="1"/>
      </w:tblPr>
      <w:tblGrid>
        <w:gridCol w:w="884"/>
        <w:gridCol w:w="1755"/>
        <w:gridCol w:w="777"/>
        <w:gridCol w:w="1886"/>
        <w:gridCol w:w="1612"/>
        <w:gridCol w:w="617"/>
        <w:gridCol w:w="1863"/>
      </w:tblGrid>
      <w:tr w:rsidR="00FC63A3" w:rsidTr="00545794">
        <w:trPr>
          <w:jc w:val="center"/>
        </w:trPr>
        <w:tc>
          <w:tcPr>
            <w:tcW w:w="0" w:type="auto"/>
          </w:tcPr>
          <w:p w:rsidR="00FC63A3" w:rsidRDefault="00FC63A3" w:rsidP="00AE53AD">
            <w:r>
              <w:t xml:space="preserve">  </w:t>
            </w:r>
          </w:p>
        </w:tc>
        <w:tc>
          <w:tcPr>
            <w:tcW w:w="1755" w:type="dxa"/>
          </w:tcPr>
          <w:p w:rsidR="00FC63A3" w:rsidRDefault="00FC63A3" w:rsidP="00AE53AD"/>
        </w:tc>
        <w:tc>
          <w:tcPr>
            <w:tcW w:w="2663" w:type="dxa"/>
            <w:gridSpan w:val="2"/>
          </w:tcPr>
          <w:p w:rsidR="00FC63A3" w:rsidRPr="00391BBA" w:rsidRDefault="00FC63A3" w:rsidP="00AE53AD">
            <w:pPr>
              <w:rPr>
                <w:b/>
              </w:rPr>
            </w:pPr>
            <w:r w:rsidRPr="00391BBA">
              <w:rPr>
                <w:b/>
              </w:rPr>
              <w:t>PR-RAS</w:t>
            </w:r>
          </w:p>
          <w:p w:rsidR="00FC63A3" w:rsidRPr="00391BBA" w:rsidRDefault="00FC63A3" w:rsidP="00AE53AD">
            <w:pPr>
              <w:rPr>
                <w:b/>
              </w:rPr>
            </w:pPr>
          </w:p>
        </w:tc>
        <w:tc>
          <w:tcPr>
            <w:tcW w:w="1612" w:type="dxa"/>
          </w:tcPr>
          <w:p w:rsidR="00FC63A3" w:rsidRPr="00391BBA" w:rsidRDefault="00391BBA" w:rsidP="00AE53AD">
            <w:pPr>
              <w:rPr>
                <w:b/>
              </w:rPr>
            </w:pPr>
            <w:r>
              <w:rPr>
                <w:b/>
              </w:rPr>
              <w:t>Korekcija za kapitalne prijenose</w:t>
            </w:r>
          </w:p>
        </w:tc>
        <w:tc>
          <w:tcPr>
            <w:tcW w:w="0" w:type="auto"/>
            <w:gridSpan w:val="2"/>
          </w:tcPr>
          <w:p w:rsidR="00FC63A3" w:rsidRPr="00391BBA" w:rsidRDefault="00FC63A3" w:rsidP="00AE53AD">
            <w:pPr>
              <w:rPr>
                <w:b/>
              </w:rPr>
            </w:pPr>
            <w:r w:rsidRPr="00391BBA">
              <w:rPr>
                <w:b/>
              </w:rPr>
              <w:t>BILANCA</w:t>
            </w:r>
          </w:p>
        </w:tc>
      </w:tr>
      <w:tr w:rsidR="00B96684" w:rsidTr="00545794">
        <w:trPr>
          <w:jc w:val="center"/>
        </w:trPr>
        <w:tc>
          <w:tcPr>
            <w:tcW w:w="0" w:type="auto"/>
            <w:vAlign w:val="center"/>
          </w:tcPr>
          <w:p w:rsidR="00F31187" w:rsidRDefault="00F31187" w:rsidP="00F31187">
            <w:pPr>
              <w:jc w:val="center"/>
            </w:pPr>
            <w:r>
              <w:t>92211</w:t>
            </w:r>
          </w:p>
        </w:tc>
        <w:tc>
          <w:tcPr>
            <w:tcW w:w="1755" w:type="dxa"/>
            <w:vAlign w:val="center"/>
          </w:tcPr>
          <w:p w:rsidR="00F31187" w:rsidRPr="00B96684" w:rsidRDefault="00F31187" w:rsidP="00F31187">
            <w:pPr>
              <w:jc w:val="center"/>
              <w:rPr>
                <w:sz w:val="20"/>
                <w:szCs w:val="20"/>
              </w:rPr>
            </w:pPr>
            <w:r w:rsidRPr="00B96684">
              <w:rPr>
                <w:sz w:val="20"/>
                <w:szCs w:val="20"/>
              </w:rPr>
              <w:t>Višak prihoda poslovanja</w:t>
            </w:r>
          </w:p>
        </w:tc>
        <w:tc>
          <w:tcPr>
            <w:tcW w:w="777" w:type="dxa"/>
            <w:vAlign w:val="center"/>
          </w:tcPr>
          <w:p w:rsidR="00F31187" w:rsidRPr="00B96684" w:rsidRDefault="0092636F" w:rsidP="00F31187">
            <w:pPr>
              <w:jc w:val="center"/>
              <w:rPr>
                <w:sz w:val="20"/>
                <w:szCs w:val="20"/>
              </w:rPr>
            </w:pPr>
            <w:r w:rsidRPr="00B96684">
              <w:rPr>
                <w:sz w:val="20"/>
                <w:szCs w:val="20"/>
              </w:rPr>
              <w:t>X001</w:t>
            </w:r>
          </w:p>
        </w:tc>
        <w:tc>
          <w:tcPr>
            <w:tcW w:w="1886" w:type="dxa"/>
            <w:vAlign w:val="center"/>
          </w:tcPr>
          <w:p w:rsidR="00F31187" w:rsidRDefault="0092636F" w:rsidP="00F31187">
            <w:pPr>
              <w:jc w:val="center"/>
            </w:pPr>
            <w:r>
              <w:t>502.367,98</w:t>
            </w:r>
          </w:p>
        </w:tc>
        <w:tc>
          <w:tcPr>
            <w:tcW w:w="1612" w:type="dxa"/>
            <w:vAlign w:val="center"/>
          </w:tcPr>
          <w:p w:rsidR="00F31187" w:rsidRDefault="00F31187" w:rsidP="0092636F">
            <w:pPr>
              <w:jc w:val="center"/>
            </w:pPr>
            <w:r>
              <w:t>-</w:t>
            </w:r>
            <w:r w:rsidR="0092636F">
              <w:t>199.931,20</w:t>
            </w:r>
          </w:p>
        </w:tc>
        <w:tc>
          <w:tcPr>
            <w:tcW w:w="617" w:type="dxa"/>
            <w:vMerge w:val="restart"/>
            <w:vAlign w:val="center"/>
          </w:tcPr>
          <w:p w:rsidR="00F31187" w:rsidRPr="0092636F" w:rsidRDefault="00F31187" w:rsidP="00F31187">
            <w:pPr>
              <w:jc w:val="center"/>
              <w:rPr>
                <w:highlight w:val="yellow"/>
              </w:rPr>
            </w:pPr>
          </w:p>
        </w:tc>
        <w:tc>
          <w:tcPr>
            <w:tcW w:w="1863" w:type="dxa"/>
            <w:vMerge w:val="restart"/>
            <w:vAlign w:val="center"/>
          </w:tcPr>
          <w:p w:rsidR="00F31187" w:rsidRPr="00B96684" w:rsidRDefault="00B96684" w:rsidP="00F31187">
            <w:pPr>
              <w:jc w:val="center"/>
            </w:pPr>
            <w:r w:rsidRPr="00B96684">
              <w:t>1.861,565,05</w:t>
            </w:r>
          </w:p>
        </w:tc>
      </w:tr>
      <w:tr w:rsidR="00B96684" w:rsidTr="00545794">
        <w:trPr>
          <w:jc w:val="center"/>
        </w:trPr>
        <w:tc>
          <w:tcPr>
            <w:tcW w:w="0" w:type="auto"/>
            <w:vAlign w:val="center"/>
          </w:tcPr>
          <w:p w:rsidR="00F31187" w:rsidRDefault="00F31187" w:rsidP="00F31187">
            <w:pPr>
              <w:jc w:val="center"/>
            </w:pPr>
            <w:r>
              <w:t>92211</w:t>
            </w:r>
          </w:p>
        </w:tc>
        <w:tc>
          <w:tcPr>
            <w:tcW w:w="1755" w:type="dxa"/>
            <w:vAlign w:val="center"/>
          </w:tcPr>
          <w:p w:rsidR="00F31187" w:rsidRPr="00B96684" w:rsidRDefault="00F31187" w:rsidP="00F31187">
            <w:pPr>
              <w:jc w:val="center"/>
              <w:rPr>
                <w:sz w:val="20"/>
                <w:szCs w:val="20"/>
              </w:rPr>
            </w:pPr>
            <w:r w:rsidRPr="00B96684">
              <w:rPr>
                <w:sz w:val="20"/>
                <w:szCs w:val="20"/>
              </w:rPr>
              <w:t>Višak prihoda poslovanja preneseni</w:t>
            </w:r>
          </w:p>
        </w:tc>
        <w:tc>
          <w:tcPr>
            <w:tcW w:w="777" w:type="dxa"/>
            <w:vAlign w:val="center"/>
          </w:tcPr>
          <w:p w:rsidR="00F31187" w:rsidRPr="00B96684" w:rsidRDefault="0092636F" w:rsidP="00F31187">
            <w:pPr>
              <w:jc w:val="center"/>
              <w:rPr>
                <w:sz w:val="20"/>
                <w:szCs w:val="20"/>
              </w:rPr>
            </w:pPr>
            <w:r w:rsidRPr="00B96684">
              <w:rPr>
                <w:sz w:val="20"/>
                <w:szCs w:val="20"/>
              </w:rPr>
              <w:t>92211</w:t>
            </w:r>
          </w:p>
        </w:tc>
        <w:tc>
          <w:tcPr>
            <w:tcW w:w="1886" w:type="dxa"/>
            <w:vAlign w:val="center"/>
          </w:tcPr>
          <w:p w:rsidR="00F31187" w:rsidRDefault="0092636F" w:rsidP="00F31187">
            <w:pPr>
              <w:jc w:val="center"/>
            </w:pPr>
            <w:r>
              <w:t>1.559.128,27</w:t>
            </w:r>
          </w:p>
          <w:p w:rsidR="00F31187" w:rsidRDefault="00F31187" w:rsidP="00F31187">
            <w:pPr>
              <w:jc w:val="center"/>
            </w:pPr>
          </w:p>
        </w:tc>
        <w:tc>
          <w:tcPr>
            <w:tcW w:w="1612" w:type="dxa"/>
            <w:vAlign w:val="center"/>
          </w:tcPr>
          <w:p w:rsidR="00F31187" w:rsidRDefault="00F31187" w:rsidP="00F31187">
            <w:pPr>
              <w:jc w:val="center"/>
            </w:pPr>
          </w:p>
        </w:tc>
        <w:tc>
          <w:tcPr>
            <w:tcW w:w="617" w:type="dxa"/>
            <w:vMerge/>
            <w:vAlign w:val="center"/>
          </w:tcPr>
          <w:p w:rsidR="00F31187" w:rsidRPr="0092636F" w:rsidRDefault="00F31187" w:rsidP="00F31187">
            <w:pPr>
              <w:jc w:val="center"/>
              <w:rPr>
                <w:highlight w:val="yellow"/>
              </w:rPr>
            </w:pPr>
          </w:p>
        </w:tc>
        <w:tc>
          <w:tcPr>
            <w:tcW w:w="1863" w:type="dxa"/>
            <w:vMerge/>
            <w:vAlign w:val="center"/>
          </w:tcPr>
          <w:p w:rsidR="00F31187" w:rsidRPr="00B96684" w:rsidRDefault="00F31187" w:rsidP="00F31187">
            <w:pPr>
              <w:jc w:val="center"/>
            </w:pPr>
          </w:p>
        </w:tc>
      </w:tr>
      <w:tr w:rsidR="00B96684" w:rsidTr="00545794">
        <w:trPr>
          <w:jc w:val="center"/>
        </w:trPr>
        <w:tc>
          <w:tcPr>
            <w:tcW w:w="0" w:type="auto"/>
            <w:vAlign w:val="center"/>
          </w:tcPr>
          <w:p w:rsidR="00FC63A3" w:rsidRDefault="0092636F" w:rsidP="00F31187">
            <w:pPr>
              <w:jc w:val="center"/>
            </w:pPr>
            <w:r>
              <w:t>922</w:t>
            </w:r>
            <w:r w:rsidR="0015453A">
              <w:t>2</w:t>
            </w:r>
            <w:r>
              <w:t>2</w:t>
            </w:r>
          </w:p>
        </w:tc>
        <w:tc>
          <w:tcPr>
            <w:tcW w:w="1755" w:type="dxa"/>
            <w:vAlign w:val="center"/>
          </w:tcPr>
          <w:p w:rsidR="00FC63A3" w:rsidRPr="00B96684" w:rsidRDefault="0092636F" w:rsidP="00F31187">
            <w:pPr>
              <w:jc w:val="center"/>
              <w:rPr>
                <w:sz w:val="20"/>
                <w:szCs w:val="20"/>
              </w:rPr>
            </w:pPr>
            <w:r w:rsidRPr="00B96684">
              <w:rPr>
                <w:sz w:val="20"/>
                <w:szCs w:val="20"/>
              </w:rPr>
              <w:t>Manjak</w:t>
            </w:r>
            <w:r w:rsidR="0015453A" w:rsidRPr="00B96684">
              <w:rPr>
                <w:sz w:val="20"/>
                <w:szCs w:val="20"/>
              </w:rPr>
              <w:t xml:space="preserve"> prihoda od nefinancijske imovine</w:t>
            </w:r>
          </w:p>
        </w:tc>
        <w:tc>
          <w:tcPr>
            <w:tcW w:w="777" w:type="dxa"/>
            <w:vAlign w:val="center"/>
          </w:tcPr>
          <w:p w:rsidR="00FC63A3" w:rsidRPr="00B96684" w:rsidRDefault="0092636F" w:rsidP="00F31187">
            <w:pPr>
              <w:jc w:val="center"/>
              <w:rPr>
                <w:sz w:val="20"/>
                <w:szCs w:val="20"/>
              </w:rPr>
            </w:pPr>
            <w:r w:rsidRPr="00B96684">
              <w:rPr>
                <w:sz w:val="20"/>
                <w:szCs w:val="20"/>
              </w:rPr>
              <w:t>Y002</w:t>
            </w:r>
          </w:p>
        </w:tc>
        <w:tc>
          <w:tcPr>
            <w:tcW w:w="1886" w:type="dxa"/>
            <w:vAlign w:val="center"/>
          </w:tcPr>
          <w:p w:rsidR="00FC63A3" w:rsidRDefault="004E498B" w:rsidP="00F31187">
            <w:pPr>
              <w:jc w:val="center"/>
            </w:pPr>
            <w:r>
              <w:t>-</w:t>
            </w:r>
            <w:r w:rsidR="0092636F">
              <w:t>236.293,83</w:t>
            </w:r>
          </w:p>
        </w:tc>
        <w:tc>
          <w:tcPr>
            <w:tcW w:w="1612" w:type="dxa"/>
            <w:vAlign w:val="center"/>
          </w:tcPr>
          <w:p w:rsidR="00FC63A3" w:rsidRDefault="00B96684" w:rsidP="00F31187">
            <w:pPr>
              <w:jc w:val="center"/>
            </w:pPr>
            <w:r>
              <w:t>199.931,20</w:t>
            </w:r>
          </w:p>
        </w:tc>
        <w:tc>
          <w:tcPr>
            <w:tcW w:w="617" w:type="dxa"/>
            <w:vAlign w:val="center"/>
          </w:tcPr>
          <w:p w:rsidR="00FC63A3" w:rsidRPr="0092636F" w:rsidRDefault="00FC63A3" w:rsidP="00F31187">
            <w:pPr>
              <w:jc w:val="center"/>
              <w:rPr>
                <w:highlight w:val="yellow"/>
              </w:rPr>
            </w:pPr>
          </w:p>
        </w:tc>
        <w:tc>
          <w:tcPr>
            <w:tcW w:w="1863" w:type="dxa"/>
            <w:vAlign w:val="center"/>
          </w:tcPr>
          <w:p w:rsidR="00FC63A3" w:rsidRPr="00B96684" w:rsidRDefault="00B96684" w:rsidP="00F31187">
            <w:pPr>
              <w:jc w:val="center"/>
            </w:pPr>
            <w:r w:rsidRPr="00B96684">
              <w:t>-2.145.601,75</w:t>
            </w:r>
          </w:p>
        </w:tc>
      </w:tr>
      <w:tr w:rsidR="00B96684" w:rsidTr="00545794">
        <w:trPr>
          <w:jc w:val="center"/>
        </w:trPr>
        <w:tc>
          <w:tcPr>
            <w:tcW w:w="0" w:type="auto"/>
            <w:vAlign w:val="center"/>
          </w:tcPr>
          <w:p w:rsidR="0092636F" w:rsidRDefault="0092636F" w:rsidP="00F31187">
            <w:pPr>
              <w:jc w:val="center"/>
            </w:pPr>
            <w:r>
              <w:t>92222</w:t>
            </w:r>
          </w:p>
        </w:tc>
        <w:tc>
          <w:tcPr>
            <w:tcW w:w="1755" w:type="dxa"/>
            <w:vAlign w:val="center"/>
          </w:tcPr>
          <w:p w:rsidR="0092636F" w:rsidRPr="00B96684" w:rsidRDefault="0092636F" w:rsidP="00F31187">
            <w:pPr>
              <w:jc w:val="center"/>
              <w:rPr>
                <w:sz w:val="20"/>
                <w:szCs w:val="20"/>
              </w:rPr>
            </w:pPr>
            <w:r w:rsidRPr="00B96684">
              <w:rPr>
                <w:sz w:val="20"/>
                <w:szCs w:val="20"/>
              </w:rPr>
              <w:t>Manjak prihoda od nefinancijske preneseni</w:t>
            </w:r>
          </w:p>
        </w:tc>
        <w:tc>
          <w:tcPr>
            <w:tcW w:w="777" w:type="dxa"/>
            <w:vAlign w:val="center"/>
          </w:tcPr>
          <w:p w:rsidR="0092636F" w:rsidRPr="00B96684" w:rsidRDefault="0092636F" w:rsidP="00F31187">
            <w:pPr>
              <w:jc w:val="center"/>
              <w:rPr>
                <w:sz w:val="20"/>
                <w:szCs w:val="20"/>
              </w:rPr>
            </w:pPr>
            <w:r w:rsidRPr="00B96684">
              <w:rPr>
                <w:sz w:val="20"/>
                <w:szCs w:val="20"/>
              </w:rPr>
              <w:t>92222</w:t>
            </w:r>
          </w:p>
        </w:tc>
        <w:tc>
          <w:tcPr>
            <w:tcW w:w="1886" w:type="dxa"/>
            <w:vAlign w:val="center"/>
          </w:tcPr>
          <w:p w:rsidR="0092636F" w:rsidRDefault="004E498B" w:rsidP="00F31187">
            <w:pPr>
              <w:jc w:val="center"/>
            </w:pPr>
            <w:r>
              <w:t>-</w:t>
            </w:r>
            <w:r w:rsidR="0092636F">
              <w:t>2.109.239,12</w:t>
            </w:r>
          </w:p>
        </w:tc>
        <w:tc>
          <w:tcPr>
            <w:tcW w:w="1612" w:type="dxa"/>
            <w:vAlign w:val="center"/>
          </w:tcPr>
          <w:p w:rsidR="0092636F" w:rsidRDefault="0092636F" w:rsidP="00F31187">
            <w:pPr>
              <w:jc w:val="center"/>
            </w:pPr>
          </w:p>
        </w:tc>
        <w:tc>
          <w:tcPr>
            <w:tcW w:w="617" w:type="dxa"/>
            <w:vAlign w:val="center"/>
          </w:tcPr>
          <w:p w:rsidR="0092636F" w:rsidRDefault="0092636F" w:rsidP="00F31187">
            <w:pPr>
              <w:jc w:val="center"/>
            </w:pPr>
          </w:p>
        </w:tc>
        <w:tc>
          <w:tcPr>
            <w:tcW w:w="1863" w:type="dxa"/>
            <w:vAlign w:val="center"/>
          </w:tcPr>
          <w:p w:rsidR="0092636F" w:rsidRDefault="0092636F" w:rsidP="00F31187">
            <w:pPr>
              <w:jc w:val="center"/>
            </w:pPr>
          </w:p>
        </w:tc>
      </w:tr>
      <w:tr w:rsidR="00B96684" w:rsidTr="00545794">
        <w:trPr>
          <w:jc w:val="center"/>
        </w:trPr>
        <w:tc>
          <w:tcPr>
            <w:tcW w:w="0" w:type="auto"/>
            <w:vAlign w:val="center"/>
          </w:tcPr>
          <w:p w:rsidR="00FC63A3" w:rsidRDefault="00631D1E" w:rsidP="00F31187">
            <w:pPr>
              <w:jc w:val="center"/>
            </w:pPr>
            <w:r>
              <w:t>92213</w:t>
            </w:r>
          </w:p>
        </w:tc>
        <w:tc>
          <w:tcPr>
            <w:tcW w:w="1755" w:type="dxa"/>
            <w:vAlign w:val="center"/>
          </w:tcPr>
          <w:p w:rsidR="00FC63A3" w:rsidRPr="00B96684" w:rsidRDefault="00631D1E" w:rsidP="00F31187">
            <w:pPr>
              <w:jc w:val="center"/>
              <w:rPr>
                <w:sz w:val="20"/>
                <w:szCs w:val="20"/>
              </w:rPr>
            </w:pPr>
            <w:r w:rsidRPr="00B96684">
              <w:rPr>
                <w:sz w:val="20"/>
                <w:szCs w:val="20"/>
              </w:rPr>
              <w:t>Višak primitaka od financijske imovine preneseni</w:t>
            </w:r>
          </w:p>
        </w:tc>
        <w:tc>
          <w:tcPr>
            <w:tcW w:w="777" w:type="dxa"/>
            <w:vAlign w:val="center"/>
          </w:tcPr>
          <w:p w:rsidR="00FC63A3" w:rsidRPr="00B96684" w:rsidRDefault="0092636F" w:rsidP="00F31187">
            <w:pPr>
              <w:jc w:val="center"/>
              <w:rPr>
                <w:sz w:val="20"/>
                <w:szCs w:val="20"/>
              </w:rPr>
            </w:pPr>
            <w:r w:rsidRPr="00B96684">
              <w:rPr>
                <w:sz w:val="20"/>
                <w:szCs w:val="20"/>
              </w:rPr>
              <w:t>92213</w:t>
            </w:r>
          </w:p>
        </w:tc>
        <w:tc>
          <w:tcPr>
            <w:tcW w:w="1886" w:type="dxa"/>
            <w:vAlign w:val="center"/>
          </w:tcPr>
          <w:p w:rsidR="00FC63A3" w:rsidRDefault="0092636F" w:rsidP="00F31187">
            <w:pPr>
              <w:jc w:val="center"/>
            </w:pPr>
            <w:r>
              <w:t>414.839,04</w:t>
            </w:r>
          </w:p>
        </w:tc>
        <w:tc>
          <w:tcPr>
            <w:tcW w:w="1612" w:type="dxa"/>
            <w:vAlign w:val="center"/>
          </w:tcPr>
          <w:p w:rsidR="00FC63A3" w:rsidRDefault="00FC63A3" w:rsidP="00F31187">
            <w:pPr>
              <w:jc w:val="center"/>
            </w:pPr>
          </w:p>
        </w:tc>
        <w:tc>
          <w:tcPr>
            <w:tcW w:w="617" w:type="dxa"/>
            <w:vAlign w:val="center"/>
          </w:tcPr>
          <w:p w:rsidR="00FC63A3" w:rsidRDefault="00FC63A3" w:rsidP="00F31187">
            <w:pPr>
              <w:jc w:val="center"/>
            </w:pPr>
          </w:p>
        </w:tc>
        <w:tc>
          <w:tcPr>
            <w:tcW w:w="1863" w:type="dxa"/>
            <w:vAlign w:val="center"/>
          </w:tcPr>
          <w:p w:rsidR="00FC63A3" w:rsidRDefault="00B96684" w:rsidP="00F31187">
            <w:pPr>
              <w:jc w:val="center"/>
            </w:pPr>
            <w:r>
              <w:t>244.769,52</w:t>
            </w:r>
          </w:p>
        </w:tc>
      </w:tr>
      <w:tr w:rsidR="00B96684" w:rsidTr="00545794">
        <w:trPr>
          <w:trHeight w:val="785"/>
          <w:jc w:val="center"/>
        </w:trPr>
        <w:tc>
          <w:tcPr>
            <w:tcW w:w="0" w:type="auto"/>
            <w:vAlign w:val="center"/>
          </w:tcPr>
          <w:p w:rsidR="00FC63A3" w:rsidRDefault="00631D1E" w:rsidP="004E498B">
            <w:pPr>
              <w:jc w:val="center"/>
            </w:pPr>
            <w:r>
              <w:t>922</w:t>
            </w:r>
            <w:r w:rsidR="004E498B">
              <w:t>13</w:t>
            </w:r>
          </w:p>
        </w:tc>
        <w:tc>
          <w:tcPr>
            <w:tcW w:w="1755" w:type="dxa"/>
            <w:vAlign w:val="center"/>
          </w:tcPr>
          <w:p w:rsidR="00FC63A3" w:rsidRPr="00B96684" w:rsidRDefault="00631D1E" w:rsidP="00F31187">
            <w:pPr>
              <w:jc w:val="center"/>
              <w:rPr>
                <w:sz w:val="20"/>
                <w:szCs w:val="20"/>
              </w:rPr>
            </w:pPr>
            <w:r w:rsidRPr="00B96684">
              <w:rPr>
                <w:sz w:val="20"/>
                <w:szCs w:val="20"/>
              </w:rPr>
              <w:t>M</w:t>
            </w:r>
            <w:r w:rsidR="004E498B" w:rsidRPr="00B96684">
              <w:rPr>
                <w:sz w:val="20"/>
                <w:szCs w:val="20"/>
              </w:rPr>
              <w:t>anjak prihoda od financijske</w:t>
            </w:r>
          </w:p>
        </w:tc>
        <w:tc>
          <w:tcPr>
            <w:tcW w:w="777" w:type="dxa"/>
            <w:vAlign w:val="center"/>
          </w:tcPr>
          <w:p w:rsidR="00FC63A3" w:rsidRPr="00B96684" w:rsidRDefault="004E498B" w:rsidP="00F31187">
            <w:pPr>
              <w:jc w:val="center"/>
              <w:rPr>
                <w:sz w:val="20"/>
                <w:szCs w:val="20"/>
              </w:rPr>
            </w:pPr>
            <w:r w:rsidRPr="00B96684">
              <w:rPr>
                <w:sz w:val="20"/>
                <w:szCs w:val="20"/>
              </w:rPr>
              <w:t>Y003</w:t>
            </w:r>
          </w:p>
        </w:tc>
        <w:tc>
          <w:tcPr>
            <w:tcW w:w="1886" w:type="dxa"/>
            <w:vAlign w:val="center"/>
          </w:tcPr>
          <w:p w:rsidR="00FC63A3" w:rsidRDefault="004E498B" w:rsidP="00F31187">
            <w:pPr>
              <w:jc w:val="center"/>
            </w:pPr>
            <w:r>
              <w:t>-170.069,52</w:t>
            </w:r>
          </w:p>
        </w:tc>
        <w:tc>
          <w:tcPr>
            <w:tcW w:w="1612" w:type="dxa"/>
            <w:vAlign w:val="center"/>
          </w:tcPr>
          <w:p w:rsidR="00FC63A3" w:rsidRDefault="00FC63A3" w:rsidP="00F31187">
            <w:pPr>
              <w:jc w:val="center"/>
            </w:pPr>
          </w:p>
        </w:tc>
        <w:tc>
          <w:tcPr>
            <w:tcW w:w="617" w:type="dxa"/>
            <w:vAlign w:val="center"/>
          </w:tcPr>
          <w:p w:rsidR="00FC63A3" w:rsidRDefault="00FC63A3" w:rsidP="00F31187">
            <w:pPr>
              <w:jc w:val="center"/>
            </w:pPr>
          </w:p>
        </w:tc>
        <w:tc>
          <w:tcPr>
            <w:tcW w:w="1863" w:type="dxa"/>
            <w:vAlign w:val="center"/>
          </w:tcPr>
          <w:p w:rsidR="00FC63A3" w:rsidRDefault="00FC63A3" w:rsidP="00F31187">
            <w:pPr>
              <w:jc w:val="center"/>
            </w:pPr>
          </w:p>
        </w:tc>
      </w:tr>
      <w:tr w:rsidR="00B96684" w:rsidTr="00545794">
        <w:trPr>
          <w:jc w:val="center"/>
        </w:trPr>
        <w:tc>
          <w:tcPr>
            <w:tcW w:w="0" w:type="auto"/>
            <w:vAlign w:val="center"/>
          </w:tcPr>
          <w:p w:rsidR="00FC63A3" w:rsidRDefault="00631D1E" w:rsidP="00F31187">
            <w:pPr>
              <w:jc w:val="center"/>
            </w:pPr>
            <w:r>
              <w:t>922</w:t>
            </w:r>
          </w:p>
        </w:tc>
        <w:tc>
          <w:tcPr>
            <w:tcW w:w="1755" w:type="dxa"/>
            <w:vAlign w:val="center"/>
          </w:tcPr>
          <w:p w:rsidR="00FC63A3" w:rsidRPr="00B96684" w:rsidRDefault="00631D1E" w:rsidP="00F31187">
            <w:pPr>
              <w:jc w:val="center"/>
              <w:rPr>
                <w:sz w:val="20"/>
                <w:szCs w:val="20"/>
              </w:rPr>
            </w:pPr>
            <w:r w:rsidRPr="00B96684">
              <w:rPr>
                <w:sz w:val="20"/>
                <w:szCs w:val="20"/>
              </w:rPr>
              <w:t>Višak/manjak prihoda</w:t>
            </w:r>
          </w:p>
        </w:tc>
        <w:tc>
          <w:tcPr>
            <w:tcW w:w="777" w:type="dxa"/>
            <w:vAlign w:val="center"/>
          </w:tcPr>
          <w:p w:rsidR="00FC63A3" w:rsidRDefault="00B96684" w:rsidP="00F31187">
            <w:pPr>
              <w:jc w:val="center"/>
            </w:pPr>
            <w:r>
              <w:t>Y006</w:t>
            </w:r>
          </w:p>
        </w:tc>
        <w:tc>
          <w:tcPr>
            <w:tcW w:w="1886" w:type="dxa"/>
            <w:vAlign w:val="center"/>
          </w:tcPr>
          <w:p w:rsidR="00FC63A3" w:rsidRDefault="00B96684" w:rsidP="00F31187">
            <w:pPr>
              <w:jc w:val="center"/>
            </w:pPr>
            <w:r>
              <w:t>-39.267,18</w:t>
            </w:r>
          </w:p>
        </w:tc>
        <w:tc>
          <w:tcPr>
            <w:tcW w:w="1612" w:type="dxa"/>
            <w:vAlign w:val="center"/>
          </w:tcPr>
          <w:p w:rsidR="00FC63A3" w:rsidRDefault="00FC63A3" w:rsidP="00F31187">
            <w:pPr>
              <w:jc w:val="center"/>
            </w:pPr>
          </w:p>
        </w:tc>
        <w:tc>
          <w:tcPr>
            <w:tcW w:w="617" w:type="dxa"/>
            <w:vAlign w:val="center"/>
          </w:tcPr>
          <w:p w:rsidR="00FC63A3" w:rsidRDefault="00B96684" w:rsidP="00F31187">
            <w:pPr>
              <w:jc w:val="center"/>
            </w:pPr>
            <w:r>
              <w:t>922</w:t>
            </w:r>
          </w:p>
        </w:tc>
        <w:tc>
          <w:tcPr>
            <w:tcW w:w="1863" w:type="dxa"/>
            <w:vAlign w:val="center"/>
          </w:tcPr>
          <w:p w:rsidR="00FC63A3" w:rsidRDefault="00B96684" w:rsidP="00F31187">
            <w:pPr>
              <w:jc w:val="center"/>
            </w:pPr>
            <w:r>
              <w:t>-39.267,18</w:t>
            </w:r>
          </w:p>
        </w:tc>
      </w:tr>
      <w:tr w:rsidR="00B96684" w:rsidTr="00545794">
        <w:trPr>
          <w:jc w:val="center"/>
        </w:trPr>
        <w:tc>
          <w:tcPr>
            <w:tcW w:w="0" w:type="auto"/>
            <w:vAlign w:val="center"/>
          </w:tcPr>
          <w:p w:rsidR="00FC63A3" w:rsidRDefault="00FC63A3" w:rsidP="00F31187">
            <w:pPr>
              <w:jc w:val="center"/>
            </w:pPr>
          </w:p>
        </w:tc>
        <w:tc>
          <w:tcPr>
            <w:tcW w:w="1755" w:type="dxa"/>
            <w:vAlign w:val="center"/>
          </w:tcPr>
          <w:p w:rsidR="00FC63A3" w:rsidRDefault="00FC63A3" w:rsidP="00F31187">
            <w:pPr>
              <w:jc w:val="center"/>
            </w:pPr>
          </w:p>
        </w:tc>
        <w:tc>
          <w:tcPr>
            <w:tcW w:w="777" w:type="dxa"/>
            <w:vAlign w:val="center"/>
          </w:tcPr>
          <w:p w:rsidR="00FC63A3" w:rsidRDefault="00FC63A3" w:rsidP="00F31187">
            <w:pPr>
              <w:jc w:val="center"/>
            </w:pPr>
          </w:p>
        </w:tc>
        <w:tc>
          <w:tcPr>
            <w:tcW w:w="1886" w:type="dxa"/>
            <w:vAlign w:val="center"/>
          </w:tcPr>
          <w:p w:rsidR="00FC63A3" w:rsidRDefault="00FC63A3" w:rsidP="00F31187">
            <w:pPr>
              <w:jc w:val="center"/>
            </w:pPr>
          </w:p>
        </w:tc>
        <w:tc>
          <w:tcPr>
            <w:tcW w:w="1612" w:type="dxa"/>
            <w:vAlign w:val="center"/>
          </w:tcPr>
          <w:p w:rsidR="00FC63A3" w:rsidRDefault="00FC63A3" w:rsidP="00F31187">
            <w:pPr>
              <w:jc w:val="center"/>
            </w:pPr>
          </w:p>
        </w:tc>
        <w:tc>
          <w:tcPr>
            <w:tcW w:w="617" w:type="dxa"/>
            <w:vAlign w:val="center"/>
          </w:tcPr>
          <w:p w:rsidR="00FC63A3" w:rsidRDefault="00FC63A3" w:rsidP="00F31187">
            <w:pPr>
              <w:jc w:val="center"/>
            </w:pPr>
          </w:p>
        </w:tc>
        <w:tc>
          <w:tcPr>
            <w:tcW w:w="1863" w:type="dxa"/>
            <w:vAlign w:val="center"/>
          </w:tcPr>
          <w:p w:rsidR="00FC63A3" w:rsidRDefault="00FC63A3" w:rsidP="00F31187">
            <w:pPr>
              <w:jc w:val="center"/>
            </w:pPr>
          </w:p>
        </w:tc>
      </w:tr>
    </w:tbl>
    <w:p w:rsidR="00230CAD" w:rsidRDefault="00230CAD" w:rsidP="00AE53AD"/>
    <w:p w:rsidR="00E331B6" w:rsidRDefault="00E331B6" w:rsidP="008C3500"/>
    <w:p w:rsidR="00775097" w:rsidRPr="00E331B6" w:rsidRDefault="00E331B6" w:rsidP="00A05936">
      <w:pPr>
        <w:ind w:left="142"/>
        <w:rPr>
          <w:b/>
        </w:rPr>
      </w:pPr>
      <w:r w:rsidRPr="00E331B6">
        <w:rPr>
          <w:b/>
        </w:rPr>
        <w:t>1</w:t>
      </w:r>
      <w:r w:rsidR="00545794">
        <w:rPr>
          <w:b/>
        </w:rPr>
        <w:t>1</w:t>
      </w:r>
      <w:r w:rsidR="00A05936" w:rsidRPr="00E331B6">
        <w:rPr>
          <w:b/>
        </w:rPr>
        <w:t>.</w:t>
      </w:r>
      <w:r w:rsidR="00775097" w:rsidRPr="00E331B6">
        <w:rPr>
          <w:b/>
        </w:rPr>
        <w:t>AOP 2</w:t>
      </w:r>
      <w:r w:rsidR="00AA61C5" w:rsidRPr="00E331B6">
        <w:rPr>
          <w:b/>
        </w:rPr>
        <w:t>53</w:t>
      </w:r>
      <w:r w:rsidR="00775097" w:rsidRPr="00E331B6">
        <w:rPr>
          <w:b/>
        </w:rPr>
        <w:t xml:space="preserve"> I 2</w:t>
      </w:r>
      <w:r w:rsidR="00AA61C5" w:rsidRPr="00E331B6">
        <w:rPr>
          <w:b/>
        </w:rPr>
        <w:t>54</w:t>
      </w:r>
      <w:r w:rsidR="00775097" w:rsidRPr="00E331B6">
        <w:rPr>
          <w:b/>
        </w:rPr>
        <w:t xml:space="preserve"> </w:t>
      </w:r>
      <w:proofErr w:type="spellStart"/>
      <w:r w:rsidR="00775097" w:rsidRPr="00E331B6">
        <w:rPr>
          <w:b/>
        </w:rPr>
        <w:t>Izvanbilančni</w:t>
      </w:r>
      <w:proofErr w:type="spellEnd"/>
      <w:r w:rsidR="00775097" w:rsidRPr="00E331B6">
        <w:rPr>
          <w:b/>
        </w:rPr>
        <w:t xml:space="preserve">  zapisi</w:t>
      </w:r>
    </w:p>
    <w:p w:rsidR="00121356" w:rsidRPr="0081640D" w:rsidRDefault="00121356" w:rsidP="00A05936">
      <w:pPr>
        <w:ind w:left="142"/>
      </w:pPr>
      <w:r>
        <w:t xml:space="preserve">                 U prilogu se nalazi tablica s popisom vanbilančne imovine.</w:t>
      </w:r>
    </w:p>
    <w:p w:rsidR="00775097" w:rsidRDefault="00775097" w:rsidP="00775097">
      <w:pPr>
        <w:pStyle w:val="Odlomakpopisa"/>
      </w:pPr>
    </w:p>
    <w:p w:rsidR="001F1F3E" w:rsidRDefault="001F1F3E" w:rsidP="00775097">
      <w:pPr>
        <w:pStyle w:val="Odlomakpopisa"/>
      </w:pPr>
    </w:p>
    <w:p w:rsidR="00E331B6" w:rsidRDefault="00E331B6" w:rsidP="00775097">
      <w:pPr>
        <w:pStyle w:val="Odlomakpopisa"/>
      </w:pPr>
    </w:p>
    <w:p w:rsidR="00E331B6" w:rsidRDefault="00545794" w:rsidP="00775097">
      <w:pPr>
        <w:pStyle w:val="Odlomakpopisa"/>
      </w:pPr>
      <w:r w:rsidRPr="00545794">
        <w:drawing>
          <wp:inline distT="0" distB="0" distL="0" distR="0">
            <wp:extent cx="5971540" cy="64212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6421279"/>
                    </a:xfrm>
                    <a:prstGeom prst="rect">
                      <a:avLst/>
                    </a:prstGeom>
                    <a:noFill/>
                    <a:ln>
                      <a:noFill/>
                    </a:ln>
                  </pic:spPr>
                </pic:pic>
              </a:graphicData>
            </a:graphic>
          </wp:inline>
        </w:drawing>
      </w:r>
    </w:p>
    <w:p w:rsidR="00B638E9" w:rsidRDefault="00B638E9" w:rsidP="00775097">
      <w:pPr>
        <w:pStyle w:val="Odlomakpopisa"/>
      </w:pPr>
    </w:p>
    <w:p w:rsidR="00B638E9" w:rsidRDefault="00B638E9" w:rsidP="00775097">
      <w:pPr>
        <w:pStyle w:val="Odlomakpopisa"/>
      </w:pPr>
    </w:p>
    <w:p w:rsidR="00E331B6" w:rsidRDefault="00E331B6" w:rsidP="00775097">
      <w:pPr>
        <w:pStyle w:val="Odlomakpopisa"/>
      </w:pPr>
    </w:p>
    <w:p w:rsidR="00E331B6" w:rsidRDefault="00E331B6" w:rsidP="00775097">
      <w:pPr>
        <w:pStyle w:val="Odlomakpopisa"/>
      </w:pPr>
    </w:p>
    <w:p w:rsidR="00E331B6" w:rsidRDefault="00E331B6" w:rsidP="00775097">
      <w:pPr>
        <w:pStyle w:val="Odlomakpopisa"/>
      </w:pPr>
    </w:p>
    <w:p w:rsidR="00E331B6" w:rsidRDefault="00E331B6" w:rsidP="00775097">
      <w:pPr>
        <w:pStyle w:val="Odlomakpopisa"/>
      </w:pPr>
    </w:p>
    <w:p w:rsidR="00391BBA" w:rsidRDefault="00391BBA" w:rsidP="00775097">
      <w:pPr>
        <w:pStyle w:val="Odlomakpopisa"/>
      </w:pPr>
    </w:p>
    <w:p w:rsidR="00391BBA" w:rsidRDefault="00391BBA" w:rsidP="00775097">
      <w:pPr>
        <w:pStyle w:val="Odlomakpopisa"/>
      </w:pPr>
    </w:p>
    <w:p w:rsidR="001F1F3E" w:rsidRPr="001F1F3E" w:rsidRDefault="001F1F3E" w:rsidP="001F1F3E">
      <w:pPr>
        <w:rPr>
          <w:b/>
          <w:color w:val="000000" w:themeColor="text1"/>
        </w:rPr>
      </w:pPr>
      <w:r w:rsidRPr="001F1F3E">
        <w:rPr>
          <w:b/>
          <w:color w:val="000000" w:themeColor="text1"/>
        </w:rPr>
        <w:t>BILJEŠKE UZ PR-RAS</w:t>
      </w:r>
    </w:p>
    <w:p w:rsidR="00B638E9" w:rsidRPr="001F1F3E" w:rsidRDefault="00B638E9" w:rsidP="00775097">
      <w:pPr>
        <w:pStyle w:val="Odlomakpopisa"/>
        <w:rPr>
          <w:color w:val="000000" w:themeColor="text1"/>
        </w:rPr>
      </w:pPr>
    </w:p>
    <w:p w:rsidR="00B638E9" w:rsidRPr="002D485D" w:rsidRDefault="00B638E9" w:rsidP="002D485D"/>
    <w:tbl>
      <w:tblPr>
        <w:tblW w:w="12901" w:type="dxa"/>
        <w:tblLayout w:type="fixed"/>
        <w:tblLook w:val="04A0" w:firstRow="1" w:lastRow="0" w:firstColumn="1" w:lastColumn="0" w:noHBand="0" w:noVBand="1"/>
      </w:tblPr>
      <w:tblGrid>
        <w:gridCol w:w="654"/>
        <w:gridCol w:w="4308"/>
        <w:gridCol w:w="3544"/>
        <w:gridCol w:w="1418"/>
        <w:gridCol w:w="1418"/>
        <w:gridCol w:w="1559"/>
      </w:tblGrid>
      <w:tr w:rsidR="00AE53AD" w:rsidRPr="00230CAD" w:rsidTr="008F43D1">
        <w:trPr>
          <w:trHeight w:val="300"/>
        </w:trPr>
        <w:tc>
          <w:tcPr>
            <w:tcW w:w="654" w:type="dxa"/>
            <w:tcBorders>
              <w:top w:val="nil"/>
              <w:left w:val="nil"/>
              <w:bottom w:val="nil"/>
              <w:right w:val="nil"/>
            </w:tcBorders>
            <w:shd w:val="clear" w:color="auto" w:fill="auto"/>
            <w:noWrap/>
            <w:vAlign w:val="bottom"/>
            <w:hideMark/>
          </w:tcPr>
          <w:p w:rsidR="00AE53AD" w:rsidRPr="00230CAD" w:rsidRDefault="00AE53AD" w:rsidP="00230CAD">
            <w:pPr>
              <w:rPr>
                <w:rFonts w:ascii="Calibri" w:hAnsi="Calibri"/>
                <w:color w:val="000000"/>
              </w:rPr>
            </w:pPr>
          </w:p>
        </w:tc>
        <w:tc>
          <w:tcPr>
            <w:tcW w:w="4308" w:type="dxa"/>
            <w:tcBorders>
              <w:top w:val="nil"/>
              <w:left w:val="nil"/>
              <w:bottom w:val="nil"/>
              <w:right w:val="nil"/>
            </w:tcBorders>
            <w:shd w:val="clear" w:color="auto" w:fill="auto"/>
            <w:noWrap/>
            <w:vAlign w:val="bottom"/>
          </w:tcPr>
          <w:p w:rsidR="002D485D" w:rsidRPr="00230CAD" w:rsidRDefault="002D485D" w:rsidP="00230CAD">
            <w:pPr>
              <w:rPr>
                <w:rFonts w:ascii="Calibri" w:hAnsi="Calibri"/>
                <w:color w:val="000000"/>
              </w:rPr>
            </w:pPr>
          </w:p>
        </w:tc>
        <w:tc>
          <w:tcPr>
            <w:tcW w:w="3544" w:type="dxa"/>
            <w:tcBorders>
              <w:top w:val="nil"/>
              <w:left w:val="nil"/>
              <w:bottom w:val="nil"/>
              <w:right w:val="nil"/>
            </w:tcBorders>
            <w:shd w:val="clear" w:color="auto" w:fill="auto"/>
            <w:noWrap/>
            <w:vAlign w:val="bottom"/>
            <w:hideMark/>
          </w:tcPr>
          <w:p w:rsidR="00AE53AD" w:rsidRPr="00230CAD" w:rsidRDefault="00AE53AD" w:rsidP="00230CAD">
            <w:pPr>
              <w:rPr>
                <w:rFonts w:ascii="Calibri" w:hAnsi="Calibri"/>
                <w:color w:val="000000"/>
              </w:rPr>
            </w:pPr>
          </w:p>
        </w:tc>
        <w:tc>
          <w:tcPr>
            <w:tcW w:w="1418" w:type="dxa"/>
            <w:tcBorders>
              <w:top w:val="nil"/>
              <w:left w:val="nil"/>
              <w:bottom w:val="nil"/>
              <w:right w:val="nil"/>
            </w:tcBorders>
          </w:tcPr>
          <w:p w:rsidR="00AE53AD" w:rsidRPr="00230CAD" w:rsidRDefault="00AE53AD" w:rsidP="00230CAD">
            <w:pPr>
              <w:rPr>
                <w:rFonts w:ascii="Calibri" w:hAnsi="Calibri"/>
                <w:color w:val="000000"/>
              </w:rPr>
            </w:pPr>
          </w:p>
        </w:tc>
        <w:tc>
          <w:tcPr>
            <w:tcW w:w="1418" w:type="dxa"/>
            <w:tcBorders>
              <w:top w:val="nil"/>
              <w:left w:val="nil"/>
              <w:bottom w:val="nil"/>
              <w:right w:val="nil"/>
            </w:tcBorders>
            <w:shd w:val="clear" w:color="auto" w:fill="auto"/>
            <w:noWrap/>
            <w:vAlign w:val="bottom"/>
            <w:hideMark/>
          </w:tcPr>
          <w:p w:rsidR="00AE53AD" w:rsidRPr="00230CAD" w:rsidRDefault="00AE53AD" w:rsidP="00230CAD">
            <w:pPr>
              <w:rPr>
                <w:rFonts w:ascii="Calibri" w:hAnsi="Calibri"/>
                <w:color w:val="000000"/>
              </w:rPr>
            </w:pPr>
          </w:p>
        </w:tc>
        <w:tc>
          <w:tcPr>
            <w:tcW w:w="1559" w:type="dxa"/>
            <w:tcBorders>
              <w:top w:val="nil"/>
              <w:left w:val="nil"/>
              <w:bottom w:val="nil"/>
              <w:right w:val="nil"/>
            </w:tcBorders>
            <w:shd w:val="clear" w:color="auto" w:fill="auto"/>
            <w:noWrap/>
            <w:vAlign w:val="center"/>
            <w:hideMark/>
          </w:tcPr>
          <w:p w:rsidR="00AE53AD" w:rsidRPr="00230CAD" w:rsidRDefault="00AE53AD" w:rsidP="00230CAD">
            <w:pPr>
              <w:jc w:val="center"/>
              <w:rPr>
                <w:rFonts w:ascii="Calibri" w:hAnsi="Calibri"/>
                <w:color w:val="000000"/>
              </w:rPr>
            </w:pPr>
          </w:p>
        </w:tc>
      </w:tr>
    </w:tbl>
    <w:p w:rsidR="009F34A7" w:rsidRPr="0081640D" w:rsidRDefault="009F34A7">
      <w:pPr>
        <w:rPr>
          <w:b/>
        </w:rPr>
      </w:pPr>
    </w:p>
    <w:p w:rsidR="00A205A7" w:rsidRDefault="00116123" w:rsidP="00A05936">
      <w:pPr>
        <w:tabs>
          <w:tab w:val="left" w:pos="709"/>
        </w:tabs>
        <w:outlineLvl w:val="0"/>
      </w:pPr>
      <w:r w:rsidRPr="008F43D1">
        <w:rPr>
          <w:b/>
        </w:rPr>
        <w:t>1</w:t>
      </w:r>
      <w:r w:rsidR="00687D19">
        <w:rPr>
          <w:b/>
        </w:rPr>
        <w:t>2</w:t>
      </w:r>
      <w:r w:rsidR="00A05936" w:rsidRPr="008F43D1">
        <w:rPr>
          <w:b/>
        </w:rPr>
        <w:t>.</w:t>
      </w:r>
      <w:r w:rsidR="00687D19">
        <w:rPr>
          <w:b/>
        </w:rPr>
        <w:t xml:space="preserve">   6362</w:t>
      </w:r>
      <w:r w:rsidR="00F83D5E">
        <w:t xml:space="preserve"> </w:t>
      </w:r>
      <w:r w:rsidR="00F83D5E" w:rsidRPr="00A05936">
        <w:rPr>
          <w:b/>
        </w:rPr>
        <w:t>Kapitalne pomoći proračunskim korisnicima iz proračuna koji nije nadležan</w:t>
      </w:r>
      <w:r w:rsidR="00F83D5E">
        <w:t xml:space="preserve"> </w:t>
      </w:r>
    </w:p>
    <w:p w:rsidR="0021249E" w:rsidRDefault="0021249E" w:rsidP="00687D19">
      <w:pPr>
        <w:pStyle w:val="Odlomakpopisa"/>
        <w:tabs>
          <w:tab w:val="left" w:pos="709"/>
        </w:tabs>
        <w:ind w:left="360"/>
        <w:outlineLvl w:val="0"/>
      </w:pPr>
      <w:r>
        <w:t xml:space="preserve"> </w:t>
      </w:r>
      <w:r w:rsidR="00687D19">
        <w:t xml:space="preserve">      Odnosi se na pomoć MZO za </w:t>
      </w:r>
      <w:r>
        <w:t>nabavu knjiga u školskoj knjižnici</w:t>
      </w:r>
      <w:r w:rsidR="00687D19">
        <w:t xml:space="preserve"> 4000 kn</w:t>
      </w:r>
      <w:r w:rsidR="00116123">
        <w:t>, naba</w:t>
      </w:r>
      <w:r w:rsidR="008F43D1">
        <w:t>vu udžbenika za redovnu nastavu</w:t>
      </w:r>
      <w:r w:rsidR="00687D19">
        <w:t xml:space="preserve"> 87.174,69 kn, te pomoć Fonda za azil i migracije po projektu </w:t>
      </w:r>
      <w:proofErr w:type="spellStart"/>
      <w:r w:rsidR="00687D19">
        <w:t>Kefeljaši</w:t>
      </w:r>
      <w:proofErr w:type="spellEnd"/>
      <w:r w:rsidR="00687D19">
        <w:t xml:space="preserve"> u </w:t>
      </w:r>
      <w:proofErr w:type="spellStart"/>
      <w:r w:rsidR="00687D19">
        <w:t>akcijia</w:t>
      </w:r>
      <w:proofErr w:type="spellEnd"/>
      <w:r w:rsidR="00687D19">
        <w:t xml:space="preserve"> u iznosu 11.999,00 kn.  U odnosu na prethodnu godinu, nabavljeno je udžbenika u većoj vrijednosti i povećanje se odnosi na sredstva po projektu.</w:t>
      </w:r>
    </w:p>
    <w:p w:rsidR="00687D19" w:rsidRDefault="00687D19" w:rsidP="00687D19">
      <w:pPr>
        <w:tabs>
          <w:tab w:val="left" w:pos="709"/>
        </w:tabs>
        <w:outlineLvl w:val="0"/>
      </w:pPr>
    </w:p>
    <w:p w:rsidR="00F83D5E" w:rsidRDefault="00F83D5E" w:rsidP="00F83D5E">
      <w:pPr>
        <w:pStyle w:val="Odlomakpopisa"/>
        <w:tabs>
          <w:tab w:val="left" w:pos="709"/>
        </w:tabs>
        <w:ind w:left="360"/>
        <w:outlineLvl w:val="0"/>
      </w:pPr>
      <w:r>
        <w:t xml:space="preserve">        </w:t>
      </w:r>
    </w:p>
    <w:p w:rsidR="00687D19" w:rsidRDefault="00687D19" w:rsidP="00844431">
      <w:pPr>
        <w:tabs>
          <w:tab w:val="left" w:pos="709"/>
        </w:tabs>
        <w:outlineLvl w:val="0"/>
        <w:rPr>
          <w:b/>
        </w:rPr>
      </w:pPr>
      <w:r w:rsidRPr="00687D19">
        <w:rPr>
          <w:b/>
        </w:rPr>
        <w:t>13. 6381 Tekuće pomoći temeljem prijenosa EU sredstava</w:t>
      </w:r>
    </w:p>
    <w:p w:rsidR="00687D19" w:rsidRPr="00687D19" w:rsidRDefault="00687D19" w:rsidP="00844431">
      <w:pPr>
        <w:tabs>
          <w:tab w:val="left" w:pos="709"/>
        </w:tabs>
        <w:outlineLvl w:val="0"/>
      </w:pPr>
      <w:r>
        <w:rPr>
          <w:b/>
        </w:rPr>
        <w:t xml:space="preserve">      Z</w:t>
      </w:r>
      <w:r>
        <w:t>natno je man</w:t>
      </w:r>
      <w:r w:rsidR="00E2632F">
        <w:t>j</w:t>
      </w:r>
      <w:r>
        <w:t xml:space="preserve">i iznos </w:t>
      </w:r>
      <w:proofErr w:type="spellStart"/>
      <w:r>
        <w:t>oprihodovanih</w:t>
      </w:r>
      <w:proofErr w:type="spellEnd"/>
      <w:r>
        <w:t xml:space="preserve"> sredstava za potrebe plaća pomoćnika u nastavi</w:t>
      </w:r>
      <w:r w:rsidR="00E2632F">
        <w:t xml:space="preserve"> te prehrane za najpotrebitije (FEAD).</w:t>
      </w:r>
    </w:p>
    <w:p w:rsidR="00687D19" w:rsidRDefault="00E2632F" w:rsidP="00844431">
      <w:pPr>
        <w:tabs>
          <w:tab w:val="left" w:pos="709"/>
        </w:tabs>
        <w:outlineLvl w:val="0"/>
      </w:pPr>
      <w:r>
        <w:t xml:space="preserve">U 2022. godini zaključena su sva putovanja po projektu </w:t>
      </w:r>
      <w:proofErr w:type="spellStart"/>
      <w:r>
        <w:t>Erasmus</w:t>
      </w:r>
      <w:proofErr w:type="spellEnd"/>
      <w:r>
        <w:t>+ te smo nakon obračuna dobili završnu uplatu po projektu. Za prijenos u sljedeću godinu ostalo je 10.641,22kn.</w:t>
      </w:r>
    </w:p>
    <w:p w:rsidR="00E2632F" w:rsidRDefault="00E2632F" w:rsidP="00844431">
      <w:pPr>
        <w:tabs>
          <w:tab w:val="left" w:pos="709"/>
        </w:tabs>
        <w:outlineLvl w:val="0"/>
      </w:pPr>
    </w:p>
    <w:p w:rsidR="00687D19" w:rsidRDefault="00E2632F" w:rsidP="00844431">
      <w:pPr>
        <w:tabs>
          <w:tab w:val="left" w:pos="709"/>
        </w:tabs>
        <w:outlineLvl w:val="0"/>
        <w:rPr>
          <w:b/>
        </w:rPr>
      </w:pPr>
      <w:r w:rsidRPr="00E2632F">
        <w:rPr>
          <w:b/>
        </w:rPr>
        <w:t>14.</w:t>
      </w:r>
      <w:r>
        <w:rPr>
          <w:b/>
        </w:rPr>
        <w:t xml:space="preserve"> 6416</w:t>
      </w:r>
      <w:r w:rsidRPr="00E2632F">
        <w:rPr>
          <w:b/>
        </w:rPr>
        <w:t xml:space="preserve"> Prihodi od dividendi</w:t>
      </w:r>
    </w:p>
    <w:p w:rsidR="00E2632F" w:rsidRDefault="00E2632F" w:rsidP="00844431">
      <w:pPr>
        <w:tabs>
          <w:tab w:val="left" w:pos="709"/>
        </w:tabs>
        <w:outlineLvl w:val="0"/>
      </w:pPr>
      <w:r>
        <w:t xml:space="preserve">      U prethodnoj godini nismo ostvarili prihode od dividendi. U 2022. godini prodane su dividende i to je zadnji prihod po toj osnovi.</w:t>
      </w:r>
    </w:p>
    <w:p w:rsidR="00E2632F" w:rsidRDefault="00E2632F" w:rsidP="00844431">
      <w:pPr>
        <w:tabs>
          <w:tab w:val="left" w:pos="709"/>
        </w:tabs>
        <w:outlineLvl w:val="0"/>
      </w:pPr>
    </w:p>
    <w:p w:rsidR="00E2632F" w:rsidRDefault="00E2632F" w:rsidP="00844431">
      <w:pPr>
        <w:tabs>
          <w:tab w:val="left" w:pos="709"/>
        </w:tabs>
        <w:outlineLvl w:val="0"/>
      </w:pPr>
      <w:r w:rsidRPr="00E2632F">
        <w:rPr>
          <w:b/>
        </w:rPr>
        <w:t>15.</w:t>
      </w:r>
      <w:r>
        <w:rPr>
          <w:b/>
        </w:rPr>
        <w:t xml:space="preserve"> </w:t>
      </w:r>
      <w:r w:rsidRPr="00E2632F">
        <w:rPr>
          <w:b/>
        </w:rPr>
        <w:t>6526 Ostali nespomenuti prihodi</w:t>
      </w:r>
      <w:r>
        <w:rPr>
          <w:b/>
        </w:rPr>
        <w:t xml:space="preserve"> </w:t>
      </w:r>
      <w:r>
        <w:t>povećani su zbog povećanja cijene prehrane u školskoj kuhinji, te ostvarenih prihoda po isplatama šteta od osiguranja imovine (10.312,50kn)</w:t>
      </w:r>
    </w:p>
    <w:p w:rsidR="00EB1A6A" w:rsidRDefault="00EB1A6A" w:rsidP="00844431">
      <w:pPr>
        <w:tabs>
          <w:tab w:val="left" w:pos="709"/>
        </w:tabs>
        <w:outlineLvl w:val="0"/>
      </w:pPr>
    </w:p>
    <w:p w:rsidR="00EB1A6A" w:rsidRDefault="00EB1A6A" w:rsidP="00844431">
      <w:pPr>
        <w:tabs>
          <w:tab w:val="left" w:pos="709"/>
        </w:tabs>
        <w:outlineLvl w:val="0"/>
      </w:pPr>
      <w:r w:rsidRPr="00EB1A6A">
        <w:rPr>
          <w:b/>
        </w:rPr>
        <w:t>16. 66 Prihodi od prodaje proizvoda i robe, te pruženih usluga, prihodi od donacija…</w:t>
      </w:r>
      <w:r>
        <w:t>povećani su iznosi u odnosu na proteklu godinu a vezano zbog poboljšanja situacije s COVID-om. Vratili smo se skoro normalnom poslovanju (prihod od iznajmljivanja dvorane, išlo se na učeničke izlete te smo za tu namjenu dobili donacije za pokriće troškova voditelja). Također su ostvarena kapitalne donacije znatno veće u odnosu na prethodnu godinu.</w:t>
      </w:r>
    </w:p>
    <w:p w:rsidR="00590C46" w:rsidRDefault="00590C46" w:rsidP="00844431">
      <w:pPr>
        <w:tabs>
          <w:tab w:val="left" w:pos="709"/>
        </w:tabs>
        <w:outlineLvl w:val="0"/>
      </w:pPr>
    </w:p>
    <w:p w:rsidR="00590C46" w:rsidRPr="00EB1A6A" w:rsidRDefault="00590C46" w:rsidP="00844431">
      <w:pPr>
        <w:tabs>
          <w:tab w:val="left" w:pos="709"/>
        </w:tabs>
        <w:outlineLvl w:val="0"/>
      </w:pPr>
    </w:p>
    <w:p w:rsidR="00844431" w:rsidRPr="00687D19" w:rsidRDefault="00844431" w:rsidP="00844431">
      <w:pPr>
        <w:tabs>
          <w:tab w:val="left" w:pos="709"/>
        </w:tabs>
        <w:outlineLvl w:val="0"/>
        <w:rPr>
          <w:b/>
        </w:rPr>
      </w:pPr>
      <w:r w:rsidRPr="00687D19">
        <w:rPr>
          <w:b/>
        </w:rPr>
        <w:t xml:space="preserve">         </w:t>
      </w:r>
    </w:p>
    <w:p w:rsidR="00844431" w:rsidRDefault="00590C46" w:rsidP="00844431">
      <w:pPr>
        <w:tabs>
          <w:tab w:val="left" w:pos="709"/>
        </w:tabs>
        <w:outlineLvl w:val="0"/>
      </w:pPr>
      <w:r>
        <w:rPr>
          <w:b/>
        </w:rPr>
        <w:t xml:space="preserve">17. 67 Prihodi iz nadležnog proračuna </w:t>
      </w:r>
      <w:r>
        <w:t xml:space="preserve">zbog enormnog povećanja cijena energenata, prijevoza učenika, prehrana učenika povećani su iznosi za </w:t>
      </w:r>
      <w:r w:rsidR="00773707">
        <w:t>prihode iz proračuna.</w:t>
      </w:r>
    </w:p>
    <w:p w:rsidR="00773707" w:rsidRDefault="00773707" w:rsidP="00844431">
      <w:pPr>
        <w:tabs>
          <w:tab w:val="left" w:pos="709"/>
        </w:tabs>
        <w:outlineLvl w:val="0"/>
      </w:pPr>
      <w:r>
        <w:t xml:space="preserve">U 2022. </w:t>
      </w:r>
      <w:proofErr w:type="spellStart"/>
      <w:r>
        <w:t>oprihodovana</w:t>
      </w:r>
      <w:proofErr w:type="spellEnd"/>
      <w:r>
        <w:t xml:space="preserve"> su sredstva za projekt dogradnje školske zgrade zbog ostvarivanja mogućnosti </w:t>
      </w:r>
      <w:proofErr w:type="spellStart"/>
      <w:r>
        <w:t>jednosmjenskog</w:t>
      </w:r>
      <w:proofErr w:type="spellEnd"/>
      <w:r>
        <w:t xml:space="preserve"> rada.</w:t>
      </w:r>
    </w:p>
    <w:p w:rsidR="00495C45" w:rsidRPr="00590C46" w:rsidRDefault="00495C45" w:rsidP="00844431">
      <w:pPr>
        <w:tabs>
          <w:tab w:val="left" w:pos="709"/>
        </w:tabs>
        <w:outlineLvl w:val="0"/>
      </w:pPr>
    </w:p>
    <w:p w:rsidR="00844431" w:rsidRDefault="00844431" w:rsidP="00844431">
      <w:pPr>
        <w:tabs>
          <w:tab w:val="left" w:pos="709"/>
        </w:tabs>
        <w:outlineLvl w:val="0"/>
      </w:pPr>
      <w:r>
        <w:t xml:space="preserve">       </w:t>
      </w:r>
    </w:p>
    <w:p w:rsidR="008F43D1" w:rsidRDefault="008F43D1" w:rsidP="00F83D5E">
      <w:pPr>
        <w:pStyle w:val="Odlomakpopisa"/>
        <w:tabs>
          <w:tab w:val="left" w:pos="709"/>
        </w:tabs>
        <w:ind w:left="360"/>
        <w:outlineLvl w:val="0"/>
      </w:pPr>
    </w:p>
    <w:p w:rsidR="008F43D1" w:rsidRDefault="008F43D1" w:rsidP="00F83D5E">
      <w:pPr>
        <w:pStyle w:val="Odlomakpopisa"/>
        <w:tabs>
          <w:tab w:val="left" w:pos="709"/>
        </w:tabs>
        <w:ind w:left="360"/>
        <w:outlineLvl w:val="0"/>
      </w:pPr>
    </w:p>
    <w:p w:rsidR="008F43D1" w:rsidRDefault="008F43D1" w:rsidP="00F83D5E">
      <w:pPr>
        <w:pStyle w:val="Odlomakpopisa"/>
        <w:tabs>
          <w:tab w:val="left" w:pos="709"/>
        </w:tabs>
        <w:ind w:left="360"/>
        <w:outlineLvl w:val="0"/>
      </w:pPr>
    </w:p>
    <w:p w:rsidR="00A205A7" w:rsidRDefault="00A05936" w:rsidP="008F43D1">
      <w:pPr>
        <w:tabs>
          <w:tab w:val="left" w:pos="709"/>
        </w:tabs>
        <w:outlineLvl w:val="0"/>
        <w:rPr>
          <w:b/>
        </w:rPr>
      </w:pPr>
      <w:r w:rsidRPr="008F43D1">
        <w:rPr>
          <w:b/>
        </w:rPr>
        <w:lastRenderedPageBreak/>
        <w:t>1</w:t>
      </w:r>
      <w:r w:rsidR="00773707">
        <w:rPr>
          <w:b/>
        </w:rPr>
        <w:t>8. 3211</w:t>
      </w:r>
      <w:r w:rsidR="008F43D1">
        <w:t xml:space="preserve"> </w:t>
      </w:r>
      <w:r w:rsidR="008F43D1" w:rsidRPr="008F43D1">
        <w:rPr>
          <w:b/>
        </w:rPr>
        <w:t>Službena putovanja</w:t>
      </w:r>
    </w:p>
    <w:p w:rsidR="008F43D1" w:rsidRDefault="008F43D1" w:rsidP="008F43D1">
      <w:pPr>
        <w:tabs>
          <w:tab w:val="left" w:pos="709"/>
        </w:tabs>
        <w:outlineLvl w:val="0"/>
        <w:rPr>
          <w:b/>
        </w:rPr>
      </w:pPr>
      <w:r>
        <w:rPr>
          <w:b/>
        </w:rPr>
        <w:t xml:space="preserve">      </w:t>
      </w:r>
      <w:r w:rsidR="00773707">
        <w:rPr>
          <w:b/>
        </w:rPr>
        <w:t>3213</w:t>
      </w:r>
      <w:r>
        <w:rPr>
          <w:b/>
        </w:rPr>
        <w:t xml:space="preserve"> Stručno usavršavanje zaposlenika</w:t>
      </w:r>
    </w:p>
    <w:p w:rsidR="008F43D1" w:rsidRDefault="008F43D1" w:rsidP="008F43D1">
      <w:pPr>
        <w:tabs>
          <w:tab w:val="left" w:pos="709"/>
        </w:tabs>
        <w:outlineLvl w:val="0"/>
      </w:pPr>
      <w:r>
        <w:rPr>
          <w:b/>
        </w:rPr>
        <w:t xml:space="preserve">               </w:t>
      </w:r>
      <w:r>
        <w:t xml:space="preserve">U okviru programa </w:t>
      </w:r>
      <w:proofErr w:type="spellStart"/>
      <w:r>
        <w:t>Erasmus</w:t>
      </w:r>
      <w:proofErr w:type="spellEnd"/>
      <w:r>
        <w:t xml:space="preserve">+ izvršena su </w:t>
      </w:r>
      <w:r w:rsidR="00773707">
        <w:t>preostala putovanja</w:t>
      </w:r>
      <w:r>
        <w:t xml:space="preserve"> u inozemstvo i time je znatno veći rashod za službena putovanja i stručno usavršavanje.</w:t>
      </w:r>
      <w:r w:rsidR="00B4405E">
        <w:t xml:space="preserve"> Također su ukidanjem </w:t>
      </w:r>
      <w:proofErr w:type="spellStart"/>
      <w:r w:rsidR="00B4405E">
        <w:t>covid</w:t>
      </w:r>
      <w:proofErr w:type="spellEnd"/>
      <w:r w:rsidR="00B4405E">
        <w:t xml:space="preserve"> mjera izvršena uobičajena službena putovanja i stručna usavršavanja.</w:t>
      </w:r>
    </w:p>
    <w:p w:rsidR="00B4405E" w:rsidRDefault="00B4405E" w:rsidP="008F43D1">
      <w:pPr>
        <w:tabs>
          <w:tab w:val="left" w:pos="709"/>
        </w:tabs>
        <w:outlineLvl w:val="0"/>
      </w:pPr>
    </w:p>
    <w:p w:rsidR="002B74EE" w:rsidRDefault="00B4405E" w:rsidP="008F43D1">
      <w:pPr>
        <w:tabs>
          <w:tab w:val="left" w:pos="709"/>
        </w:tabs>
        <w:outlineLvl w:val="0"/>
        <w:rPr>
          <w:b/>
        </w:rPr>
      </w:pPr>
      <w:r w:rsidRPr="00B4405E">
        <w:rPr>
          <w:b/>
        </w:rPr>
        <w:t>19.</w:t>
      </w:r>
      <w:r w:rsidR="002B74EE">
        <w:rPr>
          <w:b/>
        </w:rPr>
        <w:t xml:space="preserve"> 322</w:t>
      </w:r>
      <w:r w:rsidRPr="00B4405E">
        <w:rPr>
          <w:b/>
        </w:rPr>
        <w:t xml:space="preserve"> Rashodi za materijal i energiju</w:t>
      </w:r>
    </w:p>
    <w:p w:rsidR="002B74EE" w:rsidRDefault="002B74EE" w:rsidP="002B74EE">
      <w:pPr>
        <w:tabs>
          <w:tab w:val="left" w:pos="709"/>
        </w:tabs>
        <w:outlineLvl w:val="0"/>
      </w:pPr>
      <w:r>
        <w:t xml:space="preserve">      </w:t>
      </w:r>
      <w:r w:rsidRPr="002B74EE">
        <w:rPr>
          <w:b/>
        </w:rPr>
        <w:t>323 Usluge telefona pošte i prijevoza</w:t>
      </w:r>
      <w:r>
        <w:rPr>
          <w:b/>
        </w:rPr>
        <w:t xml:space="preserve"> </w:t>
      </w:r>
      <w:r w:rsidRPr="002B74EE">
        <w:t>zbog povećanja cijena pri</w:t>
      </w:r>
      <w:r>
        <w:t xml:space="preserve">jevoza učenika </w:t>
      </w:r>
      <w:r>
        <w:t>cijena namirnice, robe i energenata znatno povećani iznosi</w:t>
      </w:r>
      <w:r>
        <w:t>.</w:t>
      </w:r>
    </w:p>
    <w:p w:rsidR="0091689E" w:rsidRDefault="0091689E" w:rsidP="002B74EE">
      <w:pPr>
        <w:tabs>
          <w:tab w:val="left" w:pos="709"/>
        </w:tabs>
        <w:outlineLvl w:val="0"/>
      </w:pPr>
    </w:p>
    <w:p w:rsidR="0091689E" w:rsidRDefault="0091689E" w:rsidP="0091689E">
      <w:pPr>
        <w:tabs>
          <w:tab w:val="left" w:pos="709"/>
        </w:tabs>
        <w:outlineLvl w:val="0"/>
        <w:rPr>
          <w:b/>
        </w:rPr>
      </w:pPr>
      <w:r>
        <w:rPr>
          <w:b/>
        </w:rPr>
        <w:t>20</w:t>
      </w:r>
      <w:r w:rsidRPr="00FC779D">
        <w:rPr>
          <w:b/>
        </w:rPr>
        <w:t xml:space="preserve">. </w:t>
      </w:r>
      <w:r>
        <w:rPr>
          <w:b/>
        </w:rPr>
        <w:t>329</w:t>
      </w:r>
      <w:r w:rsidRPr="00FC779D">
        <w:rPr>
          <w:b/>
        </w:rPr>
        <w:t xml:space="preserve"> Troškovi sudskih postupaka</w:t>
      </w:r>
    </w:p>
    <w:p w:rsidR="002B74EE" w:rsidRDefault="0091689E" w:rsidP="0091689E">
      <w:pPr>
        <w:tabs>
          <w:tab w:val="left" w:pos="709"/>
        </w:tabs>
        <w:outlineLvl w:val="0"/>
      </w:pPr>
      <w:r>
        <w:rPr>
          <w:b/>
        </w:rPr>
        <w:t xml:space="preserve">                </w:t>
      </w:r>
      <w:r>
        <w:t>Dio djelatnika je tužio Školu za neisplaćenu pripadajuću razliku plaće iz 2016. i 2017. godine</w:t>
      </w:r>
      <w:r>
        <w:t>. Većina isplata je izvršena u 2022. godini te su samim tim i povećane stavke na sudskim troškovima.</w:t>
      </w:r>
    </w:p>
    <w:p w:rsidR="0091689E" w:rsidRDefault="0091689E" w:rsidP="0091689E">
      <w:pPr>
        <w:tabs>
          <w:tab w:val="left" w:pos="709"/>
        </w:tabs>
        <w:outlineLvl w:val="0"/>
      </w:pPr>
    </w:p>
    <w:p w:rsidR="0091689E" w:rsidRPr="002B74EE" w:rsidRDefault="0091689E" w:rsidP="0091689E">
      <w:pPr>
        <w:tabs>
          <w:tab w:val="left" w:pos="709"/>
        </w:tabs>
        <w:outlineLvl w:val="0"/>
        <w:rPr>
          <w:b/>
        </w:rPr>
      </w:pPr>
      <w:r w:rsidRPr="002B74EE">
        <w:rPr>
          <w:b/>
        </w:rPr>
        <w:t>2</w:t>
      </w:r>
      <w:r>
        <w:rPr>
          <w:b/>
        </w:rPr>
        <w:t>1</w:t>
      </w:r>
      <w:r w:rsidRPr="002B74EE">
        <w:rPr>
          <w:b/>
        </w:rPr>
        <w:t>.</w:t>
      </w:r>
      <w:r>
        <w:rPr>
          <w:b/>
        </w:rPr>
        <w:t xml:space="preserve"> 34</w:t>
      </w:r>
      <w:r w:rsidRPr="002B74EE">
        <w:rPr>
          <w:b/>
        </w:rPr>
        <w:t xml:space="preserve"> Financijski rashodi</w:t>
      </w:r>
      <w:r>
        <w:rPr>
          <w:b/>
        </w:rPr>
        <w:t xml:space="preserve"> </w:t>
      </w:r>
      <w:r w:rsidRPr="002B74EE">
        <w:t xml:space="preserve">povećani iznos u odnosu na prethodnu godinu odnose se na kamate </w:t>
      </w:r>
      <w:r>
        <w:t>po tužbama  djelatnika za doprinose, poreze i neto iznose.</w:t>
      </w:r>
    </w:p>
    <w:p w:rsidR="008F43D1" w:rsidRDefault="008F43D1" w:rsidP="008F43D1">
      <w:pPr>
        <w:tabs>
          <w:tab w:val="left" w:pos="709"/>
        </w:tabs>
        <w:outlineLvl w:val="0"/>
      </w:pPr>
    </w:p>
    <w:p w:rsidR="002B74EE" w:rsidRPr="002B74EE" w:rsidRDefault="002B74EE" w:rsidP="008F43D1">
      <w:pPr>
        <w:tabs>
          <w:tab w:val="left" w:pos="709"/>
        </w:tabs>
        <w:outlineLvl w:val="0"/>
      </w:pPr>
      <w:r w:rsidRPr="002B74EE">
        <w:rPr>
          <w:b/>
        </w:rPr>
        <w:t xml:space="preserve">21. </w:t>
      </w:r>
      <w:r w:rsidR="0091689E">
        <w:rPr>
          <w:b/>
        </w:rPr>
        <w:t xml:space="preserve"> 37 </w:t>
      </w:r>
      <w:r w:rsidRPr="002B74EE">
        <w:rPr>
          <w:b/>
        </w:rPr>
        <w:t>Naknade građanima i kućanstvima…</w:t>
      </w:r>
      <w:r>
        <w:t>Radi se o radnim udžbenicima koji se nisu uvodili u imovinu škole. U 2022. je znatno manje radnih udžbenika.</w:t>
      </w:r>
    </w:p>
    <w:p w:rsidR="008F43D1" w:rsidRPr="002B74EE" w:rsidRDefault="008F43D1" w:rsidP="008F43D1">
      <w:pPr>
        <w:tabs>
          <w:tab w:val="left" w:pos="709"/>
        </w:tabs>
        <w:outlineLvl w:val="0"/>
        <w:rPr>
          <w:b/>
        </w:rPr>
      </w:pPr>
    </w:p>
    <w:p w:rsidR="00FC779D" w:rsidRDefault="00FC779D" w:rsidP="00FC779D">
      <w:pPr>
        <w:tabs>
          <w:tab w:val="left" w:pos="709"/>
        </w:tabs>
        <w:ind w:left="708"/>
        <w:outlineLvl w:val="0"/>
      </w:pPr>
      <w:r>
        <w:t>.</w:t>
      </w:r>
    </w:p>
    <w:p w:rsidR="00437C8A" w:rsidRPr="007165FA" w:rsidRDefault="0091689E" w:rsidP="00345F57">
      <w:r>
        <w:rPr>
          <w:b/>
        </w:rPr>
        <w:t>22</w:t>
      </w:r>
      <w:r w:rsidR="00437C8A" w:rsidRPr="00B0374E">
        <w:rPr>
          <w:b/>
        </w:rPr>
        <w:t xml:space="preserve">. </w:t>
      </w:r>
      <w:r>
        <w:rPr>
          <w:b/>
        </w:rPr>
        <w:t>Y006</w:t>
      </w:r>
      <w:r w:rsidR="004A502D" w:rsidRPr="00B0374E">
        <w:rPr>
          <w:b/>
        </w:rPr>
        <w:t xml:space="preserve"> Manjak prihoda i primitaka raspoloživ u slijedećem razdoblju</w:t>
      </w:r>
      <w:r w:rsidR="004A502D">
        <w:t xml:space="preserve"> iznosi </w:t>
      </w:r>
      <w:r>
        <w:t>39.267,18</w:t>
      </w:r>
      <w:r w:rsidR="004A502D">
        <w:t xml:space="preserve">.  Napominjemo da se taj manjak sastoji od viška prihoda po Projektu </w:t>
      </w:r>
      <w:proofErr w:type="spellStart"/>
      <w:r w:rsidR="004A502D">
        <w:t>Erasmus</w:t>
      </w:r>
      <w:proofErr w:type="spellEnd"/>
      <w:r w:rsidR="004A502D">
        <w:t>+</w:t>
      </w:r>
      <w:r w:rsidR="00BF2038">
        <w:t xml:space="preserve"> preostalom iznosu </w:t>
      </w:r>
      <w:r>
        <w:t>10.641,22 kn</w:t>
      </w:r>
      <w:r w:rsidR="00BF2038">
        <w:t>.</w:t>
      </w:r>
    </w:p>
    <w:p w:rsidR="00720F74" w:rsidRDefault="00BE0E63" w:rsidP="00B0374E">
      <w:pPr>
        <w:pStyle w:val="Odlomakpopisa"/>
        <w:tabs>
          <w:tab w:val="left" w:pos="709"/>
        </w:tabs>
        <w:ind w:left="502"/>
        <w:outlineLvl w:val="0"/>
      </w:pPr>
      <w:r>
        <w:t>Manjak prihoda i primitaka je metodološki jer su rashodi i izdaci evidentirani u 202</w:t>
      </w:r>
      <w:r w:rsidR="0091689E">
        <w:t>2</w:t>
      </w:r>
      <w:r>
        <w:t>. a prihodi n</w:t>
      </w:r>
      <w:r w:rsidR="00495C45">
        <w:t xml:space="preserve">isu naplaćeni u tekućoj godini već će biti </w:t>
      </w:r>
      <w:proofErr w:type="spellStart"/>
      <w:r w:rsidR="00495C45">
        <w:t>oprihodovani</w:t>
      </w:r>
      <w:proofErr w:type="spellEnd"/>
      <w:r w:rsidR="00495C45">
        <w:t xml:space="preserve"> u sljedećoj godini.</w:t>
      </w:r>
    </w:p>
    <w:p w:rsidR="00B0374E" w:rsidRDefault="00B0374E" w:rsidP="00B0374E">
      <w:pPr>
        <w:pStyle w:val="Odlomakpopisa"/>
        <w:tabs>
          <w:tab w:val="left" w:pos="709"/>
        </w:tabs>
        <w:ind w:left="502"/>
        <w:outlineLvl w:val="0"/>
      </w:pPr>
    </w:p>
    <w:p w:rsidR="00B0374E" w:rsidRDefault="00B0374E" w:rsidP="00B0374E">
      <w:pPr>
        <w:pStyle w:val="Odlomakpopisa"/>
        <w:tabs>
          <w:tab w:val="left" w:pos="709"/>
        </w:tabs>
        <w:ind w:left="502"/>
        <w:outlineLvl w:val="0"/>
      </w:pPr>
    </w:p>
    <w:p w:rsidR="00AD0B08" w:rsidRPr="0081640D" w:rsidRDefault="00AD0B08" w:rsidP="00034851"/>
    <w:p w:rsidR="0048322B" w:rsidRDefault="0048322B" w:rsidP="00B0374E">
      <w:pPr>
        <w:ind w:left="1416" w:firstLine="708"/>
        <w:rPr>
          <w:b/>
        </w:rPr>
      </w:pPr>
      <w:r w:rsidRPr="0081640D">
        <w:rPr>
          <w:b/>
        </w:rPr>
        <w:t>BILJEŠKE UZ P-VRIO</w:t>
      </w:r>
    </w:p>
    <w:p w:rsidR="00B0374E" w:rsidRDefault="00B0374E" w:rsidP="0048322B">
      <w:pPr>
        <w:rPr>
          <w:b/>
        </w:rPr>
      </w:pPr>
    </w:p>
    <w:p w:rsidR="00B0374E" w:rsidRPr="0081640D" w:rsidRDefault="00B0374E" w:rsidP="0048322B">
      <w:pPr>
        <w:rPr>
          <w:b/>
        </w:rPr>
      </w:pPr>
    </w:p>
    <w:p w:rsidR="00BB5A65" w:rsidRDefault="00F02FE9" w:rsidP="00720F74">
      <w:r>
        <w:rPr>
          <w:b/>
        </w:rPr>
        <w:t>23  915</w:t>
      </w:r>
      <w:r w:rsidR="00B0374E" w:rsidRPr="00B0374E">
        <w:rPr>
          <w:b/>
        </w:rPr>
        <w:t>.</w:t>
      </w:r>
      <w:r w:rsidR="00BB5A65">
        <w:t xml:space="preserve"> </w:t>
      </w:r>
      <w:r w:rsidR="00BB5A65" w:rsidRPr="00684E42">
        <w:rPr>
          <w:b/>
        </w:rPr>
        <w:t>Promjene u obujmu imovine</w:t>
      </w:r>
      <w:r w:rsidR="00BB5A65">
        <w:t xml:space="preserve"> –</w:t>
      </w:r>
      <w:r w:rsidR="00B0374E">
        <w:t xml:space="preserve"> u 202</w:t>
      </w:r>
      <w:r w:rsidR="00495C45">
        <w:t>2</w:t>
      </w:r>
      <w:r w:rsidR="00B0374E">
        <w:t>. godini imam</w:t>
      </w:r>
      <w:r w:rsidR="002B78F0">
        <w:t>o smanjenje vrijednosti imovine zbog rashodovanja imovine koja je imala sadašnju vrijednost (nije bila amortizirana) u iznosu 4.091,64 kn. Povećanje u obujmu imovine odnosi se na pronađeni višak namještaja  koji je samo djelomično amortiziran.(U imovinu je uveden namještaj identično vrijednosti namještaja koji se nalazio u evidenciji)</w:t>
      </w:r>
      <w:r>
        <w:t xml:space="preserve"> 2.391,07 kn</w:t>
      </w:r>
    </w:p>
    <w:p w:rsidR="00B0374E" w:rsidRDefault="00B0374E" w:rsidP="00720F74">
      <w:r>
        <w:t xml:space="preserve">      </w:t>
      </w:r>
    </w:p>
    <w:p w:rsidR="00A062B6" w:rsidRDefault="00A062B6" w:rsidP="00861572">
      <w:pPr>
        <w:ind w:left="142"/>
        <w:rPr>
          <w:b/>
        </w:rPr>
      </w:pPr>
    </w:p>
    <w:p w:rsidR="00A062B6" w:rsidRDefault="00A062B6" w:rsidP="00861572">
      <w:pPr>
        <w:ind w:left="142"/>
        <w:rPr>
          <w:b/>
        </w:rPr>
      </w:pPr>
    </w:p>
    <w:p w:rsidR="00A062B6" w:rsidRDefault="00A062B6" w:rsidP="00861572">
      <w:pPr>
        <w:ind w:left="142"/>
        <w:rPr>
          <w:b/>
        </w:rPr>
      </w:pPr>
    </w:p>
    <w:p w:rsidR="00A336CC" w:rsidRDefault="00A336CC" w:rsidP="00861572">
      <w:pPr>
        <w:ind w:left="142"/>
        <w:rPr>
          <w:b/>
        </w:rPr>
      </w:pPr>
    </w:p>
    <w:p w:rsidR="00861572" w:rsidRPr="0081640D" w:rsidRDefault="00861572" w:rsidP="00861572">
      <w:pPr>
        <w:ind w:left="142"/>
        <w:rPr>
          <w:b/>
        </w:rPr>
      </w:pPr>
      <w:r w:rsidRPr="0081640D">
        <w:rPr>
          <w:b/>
        </w:rPr>
        <w:t>BILJEŠKE UZ  OBRAZAC RAS-FUNKCIJSKI</w:t>
      </w:r>
    </w:p>
    <w:p w:rsidR="00861572" w:rsidRPr="0081640D" w:rsidRDefault="00861572" w:rsidP="00861572">
      <w:pPr>
        <w:ind w:left="142"/>
        <w:rPr>
          <w:b/>
        </w:rPr>
      </w:pPr>
    </w:p>
    <w:p w:rsidR="00861572" w:rsidRPr="0081640D" w:rsidRDefault="00A336CC" w:rsidP="00861572">
      <w:pPr>
        <w:ind w:left="142"/>
      </w:pPr>
      <w:r w:rsidRPr="00A336CC">
        <w:rPr>
          <w:b/>
        </w:rPr>
        <w:t>24</w:t>
      </w:r>
      <w:r w:rsidR="00D13996" w:rsidRPr="00A336CC">
        <w:rPr>
          <w:b/>
        </w:rPr>
        <w:t xml:space="preserve">. </w:t>
      </w:r>
      <w:r w:rsidR="00861572" w:rsidRPr="00A336CC">
        <w:rPr>
          <w:b/>
        </w:rPr>
        <w:t>Škola obavlja djelatnost osnovnog obrazovanja</w:t>
      </w:r>
      <w:r w:rsidR="00861572" w:rsidRPr="0081640D">
        <w:t xml:space="preserve">. Na </w:t>
      </w:r>
      <w:r>
        <w:t>096</w:t>
      </w:r>
      <w:r w:rsidR="00861572" w:rsidRPr="0081640D">
        <w:t xml:space="preserve"> nalaze se podatak koji se odnosi na  usl</w:t>
      </w:r>
      <w:r w:rsidR="00BB5A65">
        <w:t xml:space="preserve">ugu prehrane u školskoj kuhinji </w:t>
      </w:r>
      <w:r>
        <w:t>– namirnice za prehranu učenika (107.615,58kn)</w:t>
      </w:r>
    </w:p>
    <w:p w:rsidR="0048322B" w:rsidRDefault="0048322B" w:rsidP="0048322B">
      <w:pPr>
        <w:pStyle w:val="Odlomakpopisa"/>
      </w:pPr>
    </w:p>
    <w:p w:rsidR="00717232" w:rsidRPr="0081640D" w:rsidRDefault="00717232" w:rsidP="0048322B">
      <w:pPr>
        <w:pStyle w:val="Odlomakpopisa"/>
      </w:pPr>
    </w:p>
    <w:p w:rsidR="000A6D27" w:rsidRDefault="000A6D27" w:rsidP="000A6D27">
      <w:pPr>
        <w:rPr>
          <w:b/>
        </w:rPr>
      </w:pPr>
      <w:r w:rsidRPr="00717232">
        <w:rPr>
          <w:b/>
        </w:rPr>
        <w:t>BILJEŠKE UZ OBVEZE</w:t>
      </w:r>
    </w:p>
    <w:p w:rsidR="003E2620" w:rsidRDefault="003E2620" w:rsidP="000A6D27">
      <w:pPr>
        <w:rPr>
          <w:b/>
        </w:rPr>
      </w:pPr>
    </w:p>
    <w:p w:rsidR="00034851" w:rsidRPr="0081640D" w:rsidRDefault="00034851" w:rsidP="00034851"/>
    <w:p w:rsidR="0048322B" w:rsidRPr="0081640D" w:rsidRDefault="00717232" w:rsidP="000A6D27">
      <w:r w:rsidRPr="003E2620">
        <w:rPr>
          <w:b/>
        </w:rPr>
        <w:t>2</w:t>
      </w:r>
      <w:r w:rsidR="00A336CC">
        <w:rPr>
          <w:b/>
        </w:rPr>
        <w:t>5</w:t>
      </w:r>
      <w:r w:rsidR="000A6D27" w:rsidRPr="003E2620">
        <w:rPr>
          <w:b/>
        </w:rPr>
        <w:t>.</w:t>
      </w:r>
      <w:r w:rsidR="00A336CC">
        <w:rPr>
          <w:b/>
        </w:rPr>
        <w:t>V003, V005,V010</w:t>
      </w:r>
      <w:r w:rsidR="002B63AC" w:rsidRPr="0081640D">
        <w:t xml:space="preserve"> </w:t>
      </w:r>
      <w:r w:rsidR="002B63AC" w:rsidRPr="000A6D27">
        <w:rPr>
          <w:b/>
        </w:rPr>
        <w:t>Međusobne obveze proračunskih korisnika</w:t>
      </w:r>
    </w:p>
    <w:p w:rsidR="002B63AC" w:rsidRPr="0081640D" w:rsidRDefault="002B63AC" w:rsidP="002B63AC">
      <w:pPr>
        <w:pStyle w:val="Odlomakpopisa"/>
      </w:pPr>
    </w:p>
    <w:p w:rsidR="00E93ECE" w:rsidRDefault="002B63AC" w:rsidP="008F4942">
      <w:pPr>
        <w:pStyle w:val="Odlomakpopisa"/>
      </w:pPr>
      <w:r w:rsidRPr="0081640D">
        <w:t>Odnose se na naknadu za bolovanja djelatnika preko HZZO</w:t>
      </w:r>
      <w:r w:rsidR="00684E42">
        <w:t xml:space="preserve"> </w:t>
      </w:r>
      <w:r w:rsidR="00A336CC">
        <w:t>44.924,99</w:t>
      </w:r>
      <w:r w:rsidR="00D13996">
        <w:t xml:space="preserve"> </w:t>
      </w:r>
      <w:r w:rsidR="00A336CC">
        <w:t>kn.</w:t>
      </w:r>
    </w:p>
    <w:p w:rsidR="00A336CC" w:rsidRDefault="00A336CC" w:rsidP="00A336CC"/>
    <w:p w:rsidR="00A062B6" w:rsidRPr="0081640D" w:rsidRDefault="00A336CC" w:rsidP="00A062B6">
      <w:r w:rsidRPr="00A336CC">
        <w:rPr>
          <w:b/>
        </w:rPr>
        <w:t>26. D239 Ostale tekuće obveze</w:t>
      </w:r>
      <w:r>
        <w:t xml:space="preserve"> (dospjele) odnose se na obveze za povrat roditeljima po preplaćenim računima z</w:t>
      </w:r>
      <w:r w:rsidR="00A062B6">
        <w:t>a prehranu iz prethodnih godina (212kn).</w:t>
      </w:r>
      <w:r w:rsidR="00A062B6" w:rsidRPr="00A062B6">
        <w:t xml:space="preserve"> </w:t>
      </w:r>
      <w:r w:rsidR="00A062B6">
        <w:t>Roditeljima su slane obavijesti, IOS obrasci, pokušali smo stupiti u kontakt, ali bezuspješno. Radi se o roditeljima bivših učenika.</w:t>
      </w:r>
    </w:p>
    <w:p w:rsidR="00A336CC" w:rsidRDefault="00A336CC" w:rsidP="00A336CC"/>
    <w:p w:rsidR="003E2620" w:rsidRDefault="003E2620" w:rsidP="008F4942">
      <w:pPr>
        <w:pStyle w:val="Odlomakpopisa"/>
      </w:pPr>
    </w:p>
    <w:p w:rsidR="00E93ECE" w:rsidRPr="00A062B6" w:rsidRDefault="00BD1220" w:rsidP="00A062B6">
      <w:pPr>
        <w:rPr>
          <w:b/>
        </w:rPr>
      </w:pPr>
      <w:r w:rsidRPr="00A062B6">
        <w:rPr>
          <w:b/>
        </w:rPr>
        <w:t>2</w:t>
      </w:r>
      <w:r w:rsidR="00A062B6" w:rsidRPr="00A062B6">
        <w:rPr>
          <w:b/>
        </w:rPr>
        <w:t>7</w:t>
      </w:r>
      <w:r w:rsidRPr="00A062B6">
        <w:rPr>
          <w:b/>
        </w:rPr>
        <w:t>. RAZRADA OBVEZA</w:t>
      </w:r>
    </w:p>
    <w:p w:rsidR="00E93ECE" w:rsidRPr="0081640D" w:rsidRDefault="00E93ECE" w:rsidP="008F4942">
      <w:pPr>
        <w:pStyle w:val="Odlomakpopisa"/>
      </w:pPr>
    </w:p>
    <w:tbl>
      <w:tblPr>
        <w:tblW w:w="9299" w:type="dxa"/>
        <w:tblInd w:w="93" w:type="dxa"/>
        <w:tblLayout w:type="fixed"/>
        <w:tblLook w:val="04A0" w:firstRow="1" w:lastRow="0" w:firstColumn="1" w:lastColumn="0" w:noHBand="0" w:noVBand="1"/>
      </w:tblPr>
      <w:tblGrid>
        <w:gridCol w:w="700"/>
        <w:gridCol w:w="1195"/>
        <w:gridCol w:w="1384"/>
        <w:gridCol w:w="1159"/>
        <w:gridCol w:w="1159"/>
        <w:gridCol w:w="1159"/>
        <w:gridCol w:w="1056"/>
        <w:gridCol w:w="1487"/>
      </w:tblGrid>
      <w:tr w:rsidR="000A6D27" w:rsidRPr="000A6D27" w:rsidTr="00E72977">
        <w:trPr>
          <w:trHeight w:val="96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proofErr w:type="spellStart"/>
            <w:r w:rsidRPr="000A6D27">
              <w:rPr>
                <w:rFonts w:cs="Arial"/>
                <w:sz w:val="20"/>
                <w:szCs w:val="20"/>
              </w:rPr>
              <w:t>kto</w:t>
            </w:r>
            <w:proofErr w:type="spellEnd"/>
          </w:p>
        </w:tc>
        <w:tc>
          <w:tcPr>
            <w:tcW w:w="1195" w:type="dxa"/>
            <w:tcBorders>
              <w:top w:val="single" w:sz="4" w:space="0" w:color="auto"/>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xml:space="preserve">Naziv </w:t>
            </w:r>
            <w:proofErr w:type="spellStart"/>
            <w:r w:rsidRPr="000A6D27">
              <w:rPr>
                <w:rFonts w:cs="Arial"/>
                <w:sz w:val="20"/>
                <w:szCs w:val="20"/>
              </w:rPr>
              <w:t>kta</w:t>
            </w:r>
            <w:proofErr w:type="spellEnd"/>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 </w:t>
            </w:r>
          </w:p>
        </w:tc>
        <w:tc>
          <w:tcPr>
            <w:tcW w:w="1159" w:type="dxa"/>
            <w:tcBorders>
              <w:top w:val="single" w:sz="4" w:space="0" w:color="auto"/>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16"/>
                <w:szCs w:val="16"/>
              </w:rPr>
            </w:pPr>
            <w:r w:rsidRPr="000A6D27">
              <w:rPr>
                <w:rFonts w:cs="Arial"/>
                <w:sz w:val="16"/>
                <w:szCs w:val="16"/>
              </w:rPr>
              <w:t>Prekoračenje 1-60</w:t>
            </w:r>
          </w:p>
        </w:tc>
        <w:tc>
          <w:tcPr>
            <w:tcW w:w="1159" w:type="dxa"/>
            <w:tcBorders>
              <w:top w:val="single" w:sz="4" w:space="0" w:color="auto"/>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16"/>
                <w:szCs w:val="16"/>
              </w:rPr>
            </w:pPr>
            <w:r w:rsidRPr="000A6D27">
              <w:rPr>
                <w:rFonts w:cs="Arial"/>
                <w:sz w:val="16"/>
                <w:szCs w:val="16"/>
              </w:rPr>
              <w:t xml:space="preserve"> Prekoračenje 61-180</w:t>
            </w:r>
          </w:p>
        </w:tc>
        <w:tc>
          <w:tcPr>
            <w:tcW w:w="1159" w:type="dxa"/>
            <w:tcBorders>
              <w:top w:val="single" w:sz="4" w:space="0" w:color="auto"/>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16"/>
                <w:szCs w:val="16"/>
              </w:rPr>
            </w:pPr>
            <w:r w:rsidRPr="000A6D27">
              <w:rPr>
                <w:rFonts w:cs="Arial"/>
                <w:sz w:val="16"/>
                <w:szCs w:val="16"/>
              </w:rPr>
              <w:t xml:space="preserve"> Prekoračenje 181-360</w:t>
            </w:r>
          </w:p>
        </w:tc>
        <w:tc>
          <w:tcPr>
            <w:tcW w:w="1056" w:type="dxa"/>
            <w:tcBorders>
              <w:top w:val="single" w:sz="4" w:space="0" w:color="auto"/>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16"/>
                <w:szCs w:val="16"/>
              </w:rPr>
            </w:pPr>
            <w:r w:rsidRPr="000A6D27">
              <w:rPr>
                <w:rFonts w:cs="Arial"/>
                <w:sz w:val="16"/>
                <w:szCs w:val="16"/>
              </w:rPr>
              <w:t xml:space="preserve"> Prekoračenje preko 360</w:t>
            </w:r>
          </w:p>
        </w:tc>
        <w:tc>
          <w:tcPr>
            <w:tcW w:w="1487" w:type="dxa"/>
            <w:tcBorders>
              <w:top w:val="single" w:sz="4" w:space="0" w:color="auto"/>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Nedospjela</w:t>
            </w:r>
          </w:p>
        </w:tc>
      </w:tr>
      <w:tr w:rsidR="000A6D27" w:rsidRPr="000A6D27" w:rsidTr="00E72977">
        <w:trPr>
          <w:trHeight w:val="25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A6D27" w:rsidRPr="000A6D27" w:rsidRDefault="000A6D27" w:rsidP="000A6D27">
            <w:pPr>
              <w:jc w:val="right"/>
              <w:rPr>
                <w:rFonts w:cs="Arial"/>
                <w:sz w:val="20"/>
                <w:szCs w:val="20"/>
              </w:rPr>
            </w:pPr>
            <w:r w:rsidRPr="000A6D27">
              <w:rPr>
                <w:rFonts w:cs="Arial"/>
                <w:sz w:val="20"/>
                <w:szCs w:val="20"/>
              </w:rPr>
              <w:t>231</w:t>
            </w:r>
          </w:p>
        </w:tc>
        <w:tc>
          <w:tcPr>
            <w:tcW w:w="1195"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Obveze za zaposlene</w:t>
            </w:r>
          </w:p>
        </w:tc>
        <w:tc>
          <w:tcPr>
            <w:tcW w:w="1384" w:type="dxa"/>
            <w:tcBorders>
              <w:top w:val="nil"/>
              <w:left w:val="nil"/>
              <w:bottom w:val="single" w:sz="4" w:space="0" w:color="auto"/>
              <w:right w:val="single" w:sz="4" w:space="0" w:color="auto"/>
            </w:tcBorders>
            <w:shd w:val="clear" w:color="000000" w:fill="FFFFFF"/>
            <w:noWrap/>
            <w:vAlign w:val="bottom"/>
            <w:hideMark/>
          </w:tcPr>
          <w:p w:rsidR="000A6D27" w:rsidRPr="000A6D27" w:rsidRDefault="00A062B6" w:rsidP="000A6D27">
            <w:pPr>
              <w:jc w:val="right"/>
              <w:rPr>
                <w:rFonts w:cs="Arial"/>
                <w:b/>
                <w:bCs/>
                <w:sz w:val="20"/>
                <w:szCs w:val="20"/>
              </w:rPr>
            </w:pPr>
            <w:r>
              <w:rPr>
                <w:rFonts w:cs="Arial"/>
                <w:b/>
                <w:bCs/>
                <w:sz w:val="20"/>
                <w:szCs w:val="20"/>
              </w:rPr>
              <w:t>758.257,45</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 </w:t>
            </w:r>
          </w:p>
        </w:tc>
        <w:tc>
          <w:tcPr>
            <w:tcW w:w="1487" w:type="dxa"/>
            <w:tcBorders>
              <w:top w:val="nil"/>
              <w:left w:val="nil"/>
              <w:bottom w:val="single" w:sz="4" w:space="0" w:color="auto"/>
              <w:right w:val="single" w:sz="4" w:space="0" w:color="auto"/>
            </w:tcBorders>
            <w:shd w:val="clear" w:color="000000" w:fill="FFFFFF"/>
            <w:noWrap/>
            <w:vAlign w:val="bottom"/>
            <w:hideMark/>
          </w:tcPr>
          <w:p w:rsidR="000A6D27" w:rsidRPr="000A6D27" w:rsidRDefault="00A062B6" w:rsidP="000A6D27">
            <w:pPr>
              <w:jc w:val="right"/>
              <w:rPr>
                <w:rFonts w:cs="Arial"/>
                <w:b/>
                <w:bCs/>
                <w:sz w:val="20"/>
                <w:szCs w:val="20"/>
              </w:rPr>
            </w:pPr>
            <w:r>
              <w:rPr>
                <w:rFonts w:cs="Arial"/>
                <w:b/>
                <w:bCs/>
                <w:sz w:val="20"/>
                <w:szCs w:val="20"/>
              </w:rPr>
              <w:t>758.257,45</w:t>
            </w:r>
          </w:p>
        </w:tc>
      </w:tr>
      <w:tr w:rsidR="000A6D27" w:rsidRPr="000A6D27" w:rsidTr="00E72977">
        <w:trPr>
          <w:trHeight w:val="5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A6D27" w:rsidRPr="000A6D27" w:rsidRDefault="000A6D27" w:rsidP="000A6D27">
            <w:pPr>
              <w:jc w:val="right"/>
              <w:rPr>
                <w:rFonts w:cs="Arial"/>
                <w:sz w:val="20"/>
                <w:szCs w:val="20"/>
              </w:rPr>
            </w:pPr>
            <w:r w:rsidRPr="000A6D27">
              <w:rPr>
                <w:rFonts w:cs="Arial"/>
                <w:sz w:val="20"/>
                <w:szCs w:val="20"/>
              </w:rPr>
              <w:t>232</w:t>
            </w:r>
          </w:p>
        </w:tc>
        <w:tc>
          <w:tcPr>
            <w:tcW w:w="1195"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Obveze za materijalne rashode</w:t>
            </w:r>
          </w:p>
        </w:tc>
        <w:tc>
          <w:tcPr>
            <w:tcW w:w="1384" w:type="dxa"/>
            <w:tcBorders>
              <w:top w:val="nil"/>
              <w:left w:val="nil"/>
              <w:bottom w:val="single" w:sz="4" w:space="0" w:color="auto"/>
              <w:right w:val="single" w:sz="4" w:space="0" w:color="auto"/>
            </w:tcBorders>
            <w:shd w:val="clear" w:color="000000" w:fill="FFFFFF"/>
            <w:noWrap/>
            <w:vAlign w:val="bottom"/>
            <w:hideMark/>
          </w:tcPr>
          <w:p w:rsidR="000A6D27" w:rsidRPr="000A6D27" w:rsidRDefault="00A062B6" w:rsidP="000A6D27">
            <w:pPr>
              <w:jc w:val="right"/>
              <w:rPr>
                <w:rFonts w:cs="Arial"/>
                <w:b/>
                <w:bCs/>
                <w:sz w:val="20"/>
                <w:szCs w:val="20"/>
              </w:rPr>
            </w:pPr>
            <w:r>
              <w:rPr>
                <w:rFonts w:cs="Arial"/>
                <w:b/>
                <w:bCs/>
                <w:sz w:val="20"/>
                <w:szCs w:val="20"/>
              </w:rPr>
              <w:t>237.343,97</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D13996">
            <w:pPr>
              <w:rPr>
                <w:rFonts w:cs="Arial"/>
                <w:sz w:val="20"/>
                <w:szCs w:val="20"/>
              </w:rPr>
            </w:pPr>
            <w:r w:rsidRPr="000A6D27">
              <w:rPr>
                <w:rFonts w:cs="Arial"/>
                <w:sz w:val="20"/>
                <w:szCs w:val="20"/>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jc w:val="right"/>
              <w:rPr>
                <w:rFonts w:cs="Arial"/>
                <w:sz w:val="20"/>
                <w:szCs w:val="20"/>
              </w:rPr>
            </w:pPr>
          </w:p>
        </w:tc>
        <w:tc>
          <w:tcPr>
            <w:tcW w:w="1487" w:type="dxa"/>
            <w:tcBorders>
              <w:top w:val="nil"/>
              <w:left w:val="nil"/>
              <w:bottom w:val="single" w:sz="4" w:space="0" w:color="auto"/>
              <w:right w:val="single" w:sz="4" w:space="0" w:color="auto"/>
            </w:tcBorders>
            <w:shd w:val="clear" w:color="000000" w:fill="FFFFFF"/>
            <w:noWrap/>
            <w:vAlign w:val="bottom"/>
            <w:hideMark/>
          </w:tcPr>
          <w:p w:rsidR="00B63965" w:rsidRPr="000A6D27" w:rsidRDefault="00A062B6" w:rsidP="00D13996">
            <w:pPr>
              <w:jc w:val="right"/>
              <w:rPr>
                <w:rFonts w:cs="Arial"/>
                <w:sz w:val="20"/>
                <w:szCs w:val="20"/>
              </w:rPr>
            </w:pPr>
            <w:r>
              <w:rPr>
                <w:rFonts w:cs="Arial"/>
                <w:sz w:val="20"/>
                <w:szCs w:val="20"/>
              </w:rPr>
              <w:t>237.343,97</w:t>
            </w:r>
          </w:p>
        </w:tc>
      </w:tr>
      <w:tr w:rsidR="000A6D27" w:rsidRPr="000A6D27" w:rsidTr="00E72977">
        <w:trPr>
          <w:trHeight w:val="5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A6D27" w:rsidRPr="000A6D27" w:rsidRDefault="000A6D27" w:rsidP="000A6D27">
            <w:pPr>
              <w:jc w:val="right"/>
              <w:rPr>
                <w:rFonts w:cs="Arial"/>
                <w:sz w:val="20"/>
                <w:szCs w:val="20"/>
              </w:rPr>
            </w:pPr>
            <w:r w:rsidRPr="000A6D27">
              <w:rPr>
                <w:rFonts w:cs="Arial"/>
                <w:sz w:val="20"/>
                <w:szCs w:val="20"/>
              </w:rPr>
              <w:t>234</w:t>
            </w:r>
          </w:p>
        </w:tc>
        <w:tc>
          <w:tcPr>
            <w:tcW w:w="1195"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Obveze za financijske rashode</w:t>
            </w:r>
          </w:p>
        </w:tc>
        <w:tc>
          <w:tcPr>
            <w:tcW w:w="1384" w:type="dxa"/>
            <w:tcBorders>
              <w:top w:val="nil"/>
              <w:left w:val="nil"/>
              <w:bottom w:val="single" w:sz="4" w:space="0" w:color="auto"/>
              <w:right w:val="single" w:sz="4" w:space="0" w:color="auto"/>
            </w:tcBorders>
            <w:shd w:val="clear" w:color="000000" w:fill="FFFFFF"/>
            <w:noWrap/>
            <w:vAlign w:val="bottom"/>
            <w:hideMark/>
          </w:tcPr>
          <w:p w:rsidR="000A6D27" w:rsidRDefault="00A062B6" w:rsidP="000A6D27">
            <w:pPr>
              <w:jc w:val="right"/>
              <w:rPr>
                <w:rFonts w:cs="Arial"/>
                <w:b/>
                <w:bCs/>
                <w:sz w:val="20"/>
                <w:szCs w:val="20"/>
              </w:rPr>
            </w:pPr>
            <w:r>
              <w:rPr>
                <w:rFonts w:cs="Arial"/>
                <w:b/>
                <w:bCs/>
                <w:sz w:val="20"/>
                <w:szCs w:val="20"/>
              </w:rPr>
              <w:t>410,32</w:t>
            </w:r>
          </w:p>
          <w:p w:rsidR="00AE62C7" w:rsidRPr="000A6D27" w:rsidRDefault="00AE62C7" w:rsidP="000A6D27">
            <w:pPr>
              <w:jc w:val="right"/>
              <w:rPr>
                <w:rFonts w:cs="Arial"/>
                <w:b/>
                <w:bCs/>
                <w:sz w:val="20"/>
                <w:szCs w:val="20"/>
              </w:rPr>
            </w:pP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487" w:type="dxa"/>
            <w:tcBorders>
              <w:top w:val="nil"/>
              <w:left w:val="nil"/>
              <w:bottom w:val="single" w:sz="4" w:space="0" w:color="auto"/>
              <w:right w:val="single" w:sz="4" w:space="0" w:color="auto"/>
            </w:tcBorders>
            <w:shd w:val="clear" w:color="000000" w:fill="FFFFFF"/>
            <w:noWrap/>
            <w:vAlign w:val="bottom"/>
            <w:hideMark/>
          </w:tcPr>
          <w:p w:rsidR="00B63965" w:rsidRDefault="00A062B6" w:rsidP="000A6D27">
            <w:pPr>
              <w:jc w:val="right"/>
              <w:rPr>
                <w:rFonts w:cs="Arial"/>
                <w:b/>
                <w:bCs/>
                <w:sz w:val="20"/>
                <w:szCs w:val="20"/>
              </w:rPr>
            </w:pPr>
            <w:r>
              <w:rPr>
                <w:rFonts w:cs="Arial"/>
                <w:b/>
                <w:bCs/>
                <w:sz w:val="20"/>
                <w:szCs w:val="20"/>
              </w:rPr>
              <w:t>410,32</w:t>
            </w:r>
          </w:p>
          <w:p w:rsidR="002E4366" w:rsidRPr="000A6D27" w:rsidRDefault="002E4366" w:rsidP="000A6D27">
            <w:pPr>
              <w:jc w:val="right"/>
              <w:rPr>
                <w:rFonts w:cs="Arial"/>
                <w:b/>
                <w:bCs/>
                <w:sz w:val="20"/>
                <w:szCs w:val="20"/>
              </w:rPr>
            </w:pPr>
          </w:p>
        </w:tc>
      </w:tr>
      <w:tr w:rsidR="00AE62C7" w:rsidRPr="000A6D27" w:rsidTr="00E72977">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AE62C7" w:rsidRPr="000A6D27" w:rsidRDefault="00AE62C7" w:rsidP="000A6D27">
            <w:pPr>
              <w:jc w:val="right"/>
              <w:rPr>
                <w:rFonts w:cs="Arial"/>
                <w:sz w:val="20"/>
                <w:szCs w:val="20"/>
              </w:rPr>
            </w:pPr>
            <w:r>
              <w:rPr>
                <w:rFonts w:cs="Arial"/>
                <w:sz w:val="20"/>
                <w:szCs w:val="20"/>
              </w:rPr>
              <w:t>237</w:t>
            </w:r>
          </w:p>
        </w:tc>
        <w:tc>
          <w:tcPr>
            <w:tcW w:w="1195" w:type="dxa"/>
            <w:tcBorders>
              <w:top w:val="nil"/>
              <w:left w:val="nil"/>
              <w:bottom w:val="single" w:sz="4" w:space="0" w:color="auto"/>
              <w:right w:val="single" w:sz="4" w:space="0" w:color="auto"/>
            </w:tcBorders>
            <w:shd w:val="clear" w:color="000000" w:fill="FFFFFF"/>
            <w:vAlign w:val="bottom"/>
          </w:tcPr>
          <w:p w:rsidR="00AE62C7" w:rsidRPr="000A6D27" w:rsidRDefault="00AE62C7" w:rsidP="000A6D27">
            <w:pPr>
              <w:rPr>
                <w:rFonts w:cs="Arial"/>
                <w:sz w:val="20"/>
                <w:szCs w:val="20"/>
              </w:rPr>
            </w:pPr>
            <w:r>
              <w:rPr>
                <w:rFonts w:cs="Arial"/>
                <w:sz w:val="20"/>
                <w:szCs w:val="20"/>
              </w:rPr>
              <w:t>Obveze za ostale naknade</w:t>
            </w:r>
          </w:p>
        </w:tc>
        <w:tc>
          <w:tcPr>
            <w:tcW w:w="1384" w:type="dxa"/>
            <w:tcBorders>
              <w:top w:val="nil"/>
              <w:left w:val="nil"/>
              <w:bottom w:val="single" w:sz="4" w:space="0" w:color="auto"/>
              <w:right w:val="single" w:sz="4" w:space="0" w:color="auto"/>
            </w:tcBorders>
            <w:shd w:val="clear" w:color="000000" w:fill="FFFFFF"/>
            <w:vAlign w:val="bottom"/>
          </w:tcPr>
          <w:p w:rsidR="00AE62C7" w:rsidRDefault="00AE62C7" w:rsidP="000A6D27">
            <w:pPr>
              <w:jc w:val="right"/>
              <w:rPr>
                <w:rFonts w:cs="Arial"/>
                <w:b/>
                <w:bCs/>
                <w:sz w:val="20"/>
                <w:szCs w:val="20"/>
              </w:rPr>
            </w:pPr>
          </w:p>
        </w:tc>
        <w:tc>
          <w:tcPr>
            <w:tcW w:w="1159" w:type="dxa"/>
            <w:tcBorders>
              <w:top w:val="nil"/>
              <w:left w:val="nil"/>
              <w:bottom w:val="single" w:sz="4" w:space="0" w:color="auto"/>
              <w:right w:val="single" w:sz="4" w:space="0" w:color="auto"/>
            </w:tcBorders>
            <w:shd w:val="clear" w:color="000000" w:fill="FFFFFF"/>
            <w:vAlign w:val="bottom"/>
          </w:tcPr>
          <w:p w:rsidR="00AE62C7" w:rsidRPr="000A6D27" w:rsidRDefault="00AE62C7" w:rsidP="000A6D27">
            <w:pPr>
              <w:jc w:val="right"/>
              <w:rPr>
                <w:rFonts w:cs="Arial"/>
                <w:b/>
                <w:bCs/>
                <w:sz w:val="20"/>
                <w:szCs w:val="20"/>
              </w:rPr>
            </w:pPr>
          </w:p>
        </w:tc>
        <w:tc>
          <w:tcPr>
            <w:tcW w:w="1159" w:type="dxa"/>
            <w:tcBorders>
              <w:top w:val="nil"/>
              <w:left w:val="nil"/>
              <w:bottom w:val="single" w:sz="4" w:space="0" w:color="auto"/>
              <w:right w:val="single" w:sz="4" w:space="0" w:color="auto"/>
            </w:tcBorders>
            <w:shd w:val="clear" w:color="000000" w:fill="FFFFFF"/>
            <w:vAlign w:val="bottom"/>
          </w:tcPr>
          <w:p w:rsidR="00AE62C7" w:rsidRPr="000A6D27" w:rsidRDefault="00AE62C7" w:rsidP="000A6D27">
            <w:pPr>
              <w:rPr>
                <w:rFonts w:cs="Arial"/>
                <w:b/>
                <w:bCs/>
                <w:sz w:val="20"/>
                <w:szCs w:val="20"/>
              </w:rPr>
            </w:pPr>
          </w:p>
        </w:tc>
        <w:tc>
          <w:tcPr>
            <w:tcW w:w="1159" w:type="dxa"/>
            <w:tcBorders>
              <w:top w:val="nil"/>
              <w:left w:val="nil"/>
              <w:bottom w:val="single" w:sz="4" w:space="0" w:color="auto"/>
              <w:right w:val="single" w:sz="4" w:space="0" w:color="auto"/>
            </w:tcBorders>
            <w:shd w:val="clear" w:color="000000" w:fill="FFFFFF"/>
            <w:vAlign w:val="bottom"/>
          </w:tcPr>
          <w:p w:rsidR="00AE62C7" w:rsidRPr="000A6D27" w:rsidRDefault="00AE62C7" w:rsidP="000A6D27">
            <w:pPr>
              <w:rPr>
                <w:rFonts w:cs="Arial"/>
                <w:b/>
                <w:bCs/>
                <w:sz w:val="20"/>
                <w:szCs w:val="20"/>
              </w:rPr>
            </w:pPr>
          </w:p>
        </w:tc>
        <w:tc>
          <w:tcPr>
            <w:tcW w:w="1056" w:type="dxa"/>
            <w:tcBorders>
              <w:top w:val="nil"/>
              <w:left w:val="nil"/>
              <w:bottom w:val="single" w:sz="4" w:space="0" w:color="auto"/>
              <w:right w:val="single" w:sz="4" w:space="0" w:color="auto"/>
            </w:tcBorders>
            <w:shd w:val="clear" w:color="000000" w:fill="FFFFFF"/>
            <w:vAlign w:val="bottom"/>
          </w:tcPr>
          <w:p w:rsidR="00AE62C7" w:rsidRDefault="00AE62C7" w:rsidP="00E72977">
            <w:pPr>
              <w:rPr>
                <w:rFonts w:cs="Arial"/>
                <w:b/>
                <w:bCs/>
                <w:sz w:val="20"/>
                <w:szCs w:val="20"/>
              </w:rPr>
            </w:pPr>
          </w:p>
        </w:tc>
        <w:tc>
          <w:tcPr>
            <w:tcW w:w="1487" w:type="dxa"/>
            <w:tcBorders>
              <w:top w:val="nil"/>
              <w:left w:val="nil"/>
              <w:bottom w:val="single" w:sz="4" w:space="0" w:color="auto"/>
              <w:right w:val="single" w:sz="4" w:space="0" w:color="auto"/>
            </w:tcBorders>
            <w:shd w:val="clear" w:color="000000" w:fill="FFFFFF"/>
            <w:vAlign w:val="bottom"/>
          </w:tcPr>
          <w:p w:rsidR="00AE62C7" w:rsidRDefault="00AE62C7" w:rsidP="000A6D27">
            <w:pPr>
              <w:jc w:val="right"/>
              <w:rPr>
                <w:rFonts w:cs="Arial"/>
                <w:b/>
                <w:bCs/>
                <w:sz w:val="20"/>
                <w:szCs w:val="20"/>
              </w:rPr>
            </w:pPr>
          </w:p>
        </w:tc>
      </w:tr>
      <w:tr w:rsidR="000A6D27" w:rsidRPr="000A6D27" w:rsidTr="00E72977">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0A6D27" w:rsidRPr="000A6D27" w:rsidRDefault="000A6D27" w:rsidP="000A6D27">
            <w:pPr>
              <w:jc w:val="right"/>
              <w:rPr>
                <w:rFonts w:cs="Arial"/>
                <w:sz w:val="20"/>
                <w:szCs w:val="20"/>
              </w:rPr>
            </w:pPr>
            <w:r w:rsidRPr="000A6D27">
              <w:rPr>
                <w:rFonts w:cs="Arial"/>
                <w:sz w:val="20"/>
                <w:szCs w:val="20"/>
              </w:rPr>
              <w:t>239</w:t>
            </w:r>
          </w:p>
        </w:tc>
        <w:tc>
          <w:tcPr>
            <w:tcW w:w="1195"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Ostale tekuće obveze</w:t>
            </w:r>
          </w:p>
        </w:tc>
        <w:tc>
          <w:tcPr>
            <w:tcW w:w="1384" w:type="dxa"/>
            <w:tcBorders>
              <w:top w:val="nil"/>
              <w:left w:val="nil"/>
              <w:bottom w:val="single" w:sz="4" w:space="0" w:color="auto"/>
              <w:right w:val="single" w:sz="4" w:space="0" w:color="auto"/>
            </w:tcBorders>
            <w:shd w:val="clear" w:color="000000" w:fill="FFFFFF"/>
            <w:vAlign w:val="bottom"/>
            <w:hideMark/>
          </w:tcPr>
          <w:p w:rsidR="000A6D27" w:rsidRPr="000A6D27" w:rsidRDefault="00A062B6" w:rsidP="000A6D27">
            <w:pPr>
              <w:jc w:val="right"/>
              <w:rPr>
                <w:rFonts w:cs="Arial"/>
                <w:b/>
                <w:bCs/>
                <w:sz w:val="20"/>
                <w:szCs w:val="20"/>
              </w:rPr>
            </w:pPr>
            <w:r>
              <w:rPr>
                <w:rFonts w:cs="Arial"/>
                <w:b/>
                <w:bCs/>
                <w:sz w:val="20"/>
                <w:szCs w:val="20"/>
              </w:rPr>
              <w:t>45136,99</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jc w:val="right"/>
              <w:rPr>
                <w:rFonts w:cs="Arial"/>
                <w:b/>
                <w:bCs/>
                <w:sz w:val="20"/>
                <w:szCs w:val="20"/>
              </w:rPr>
            </w:pPr>
          </w:p>
        </w:tc>
        <w:tc>
          <w:tcPr>
            <w:tcW w:w="1159" w:type="dxa"/>
            <w:tcBorders>
              <w:top w:val="nil"/>
              <w:left w:val="nil"/>
              <w:bottom w:val="single" w:sz="4" w:space="0" w:color="auto"/>
              <w:right w:val="single" w:sz="4" w:space="0" w:color="auto"/>
            </w:tcBorders>
            <w:shd w:val="clear" w:color="000000" w:fill="FFFFFF"/>
            <w:vAlign w:val="bottom"/>
            <w:hideMark/>
          </w:tcPr>
          <w:p w:rsidR="002E4366" w:rsidRPr="000A6D27" w:rsidRDefault="000A6D27" w:rsidP="00AE62C7">
            <w:pPr>
              <w:rPr>
                <w:rFonts w:cs="Arial"/>
                <w:b/>
                <w:bCs/>
                <w:sz w:val="20"/>
                <w:szCs w:val="20"/>
              </w:rPr>
            </w:pPr>
            <w:r w:rsidRPr="000A6D27">
              <w:rPr>
                <w:rFonts w:cs="Arial"/>
                <w:b/>
                <w:bCs/>
                <w:sz w:val="20"/>
                <w:szCs w:val="20"/>
              </w:rPr>
              <w:t> </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056" w:type="dxa"/>
            <w:tcBorders>
              <w:top w:val="nil"/>
              <w:left w:val="nil"/>
              <w:bottom w:val="single" w:sz="4" w:space="0" w:color="auto"/>
              <w:right w:val="single" w:sz="4" w:space="0" w:color="auto"/>
            </w:tcBorders>
            <w:shd w:val="clear" w:color="000000" w:fill="FFFFFF"/>
            <w:vAlign w:val="bottom"/>
            <w:hideMark/>
          </w:tcPr>
          <w:p w:rsidR="00E72977" w:rsidRDefault="00E72977" w:rsidP="00E72977">
            <w:pPr>
              <w:rPr>
                <w:rFonts w:cs="Arial"/>
                <w:b/>
                <w:bCs/>
                <w:sz w:val="20"/>
                <w:szCs w:val="20"/>
              </w:rPr>
            </w:pPr>
          </w:p>
          <w:p w:rsidR="00E72977" w:rsidRPr="000A6D27" w:rsidRDefault="00A062B6" w:rsidP="00E72977">
            <w:pPr>
              <w:rPr>
                <w:rFonts w:cs="Arial"/>
                <w:b/>
                <w:bCs/>
                <w:sz w:val="20"/>
                <w:szCs w:val="20"/>
              </w:rPr>
            </w:pPr>
            <w:r>
              <w:rPr>
                <w:rFonts w:cs="Arial"/>
                <w:b/>
                <w:bCs/>
                <w:sz w:val="20"/>
                <w:szCs w:val="20"/>
              </w:rPr>
              <w:t>212</w:t>
            </w:r>
          </w:p>
        </w:tc>
        <w:tc>
          <w:tcPr>
            <w:tcW w:w="1487" w:type="dxa"/>
            <w:tcBorders>
              <w:top w:val="nil"/>
              <w:left w:val="nil"/>
              <w:bottom w:val="single" w:sz="4" w:space="0" w:color="auto"/>
              <w:right w:val="single" w:sz="4" w:space="0" w:color="auto"/>
            </w:tcBorders>
            <w:shd w:val="clear" w:color="000000" w:fill="FFFFFF"/>
            <w:vAlign w:val="bottom"/>
            <w:hideMark/>
          </w:tcPr>
          <w:p w:rsidR="00B63965" w:rsidRDefault="00A062B6" w:rsidP="000A6D27">
            <w:pPr>
              <w:jc w:val="right"/>
              <w:rPr>
                <w:rFonts w:cs="Arial"/>
                <w:b/>
                <w:bCs/>
                <w:sz w:val="20"/>
                <w:szCs w:val="20"/>
              </w:rPr>
            </w:pPr>
            <w:r>
              <w:rPr>
                <w:rFonts w:cs="Arial"/>
                <w:b/>
                <w:bCs/>
                <w:sz w:val="20"/>
                <w:szCs w:val="20"/>
              </w:rPr>
              <w:t>44.924,99</w:t>
            </w:r>
          </w:p>
          <w:p w:rsidR="00E72977" w:rsidRPr="000A6D27" w:rsidRDefault="00E72977" w:rsidP="000A6D27">
            <w:pPr>
              <w:jc w:val="right"/>
              <w:rPr>
                <w:rFonts w:cs="Arial"/>
                <w:b/>
                <w:bCs/>
                <w:sz w:val="20"/>
                <w:szCs w:val="20"/>
              </w:rPr>
            </w:pPr>
          </w:p>
        </w:tc>
      </w:tr>
      <w:tr w:rsidR="00BD1220" w:rsidRPr="000A6D27" w:rsidTr="00E72977">
        <w:trPr>
          <w:trHeight w:val="510"/>
        </w:trPr>
        <w:tc>
          <w:tcPr>
            <w:tcW w:w="700" w:type="dxa"/>
            <w:tcBorders>
              <w:top w:val="nil"/>
              <w:left w:val="single" w:sz="4" w:space="0" w:color="auto"/>
              <w:bottom w:val="single" w:sz="4" w:space="0" w:color="auto"/>
              <w:right w:val="single" w:sz="4" w:space="0" w:color="auto"/>
            </w:tcBorders>
            <w:shd w:val="clear" w:color="000000" w:fill="FFFFFF"/>
            <w:vAlign w:val="bottom"/>
          </w:tcPr>
          <w:p w:rsidR="00BD1220" w:rsidRPr="000A6D27" w:rsidRDefault="00BD1220" w:rsidP="000A6D27">
            <w:pPr>
              <w:jc w:val="right"/>
              <w:rPr>
                <w:rFonts w:cs="Arial"/>
                <w:sz w:val="20"/>
                <w:szCs w:val="20"/>
              </w:rPr>
            </w:pPr>
            <w:r>
              <w:rPr>
                <w:rFonts w:cs="Arial"/>
                <w:sz w:val="20"/>
                <w:szCs w:val="20"/>
              </w:rPr>
              <w:t>242</w:t>
            </w:r>
          </w:p>
        </w:tc>
        <w:tc>
          <w:tcPr>
            <w:tcW w:w="1195" w:type="dxa"/>
            <w:tcBorders>
              <w:top w:val="nil"/>
              <w:left w:val="nil"/>
              <w:bottom w:val="single" w:sz="4" w:space="0" w:color="auto"/>
              <w:right w:val="single" w:sz="4" w:space="0" w:color="auto"/>
            </w:tcBorders>
            <w:shd w:val="clear" w:color="000000" w:fill="FFFFFF"/>
            <w:vAlign w:val="bottom"/>
          </w:tcPr>
          <w:p w:rsidR="00BD1220" w:rsidRPr="000A6D27" w:rsidRDefault="00BD1220" w:rsidP="000A6D27">
            <w:pPr>
              <w:rPr>
                <w:rFonts w:cs="Arial"/>
                <w:sz w:val="20"/>
                <w:szCs w:val="20"/>
              </w:rPr>
            </w:pPr>
            <w:r>
              <w:rPr>
                <w:rFonts w:cs="Arial"/>
                <w:sz w:val="20"/>
                <w:szCs w:val="20"/>
              </w:rPr>
              <w:t>Obveze za nabavu proizvedene dugotrajne imovine</w:t>
            </w:r>
          </w:p>
        </w:tc>
        <w:tc>
          <w:tcPr>
            <w:tcW w:w="1384" w:type="dxa"/>
            <w:tcBorders>
              <w:top w:val="nil"/>
              <w:left w:val="nil"/>
              <w:bottom w:val="single" w:sz="4" w:space="0" w:color="auto"/>
              <w:right w:val="single" w:sz="4" w:space="0" w:color="auto"/>
            </w:tcBorders>
            <w:shd w:val="clear" w:color="000000" w:fill="FFFFFF"/>
            <w:vAlign w:val="bottom"/>
          </w:tcPr>
          <w:p w:rsidR="00BD1220" w:rsidRDefault="00BD1220" w:rsidP="000A6D27">
            <w:pPr>
              <w:jc w:val="right"/>
              <w:rPr>
                <w:rFonts w:cs="Arial"/>
                <w:b/>
                <w:bCs/>
                <w:sz w:val="20"/>
                <w:szCs w:val="20"/>
              </w:rPr>
            </w:pPr>
          </w:p>
        </w:tc>
        <w:tc>
          <w:tcPr>
            <w:tcW w:w="1159" w:type="dxa"/>
            <w:tcBorders>
              <w:top w:val="nil"/>
              <w:left w:val="nil"/>
              <w:bottom w:val="single" w:sz="4" w:space="0" w:color="auto"/>
              <w:right w:val="single" w:sz="4" w:space="0" w:color="auto"/>
            </w:tcBorders>
            <w:shd w:val="clear" w:color="000000" w:fill="FFFFFF"/>
            <w:vAlign w:val="bottom"/>
          </w:tcPr>
          <w:p w:rsidR="00BD1220" w:rsidRPr="000A6D27" w:rsidRDefault="00BD1220" w:rsidP="000A6D27">
            <w:pPr>
              <w:rPr>
                <w:rFonts w:cs="Arial"/>
                <w:b/>
                <w:bCs/>
                <w:sz w:val="20"/>
                <w:szCs w:val="20"/>
              </w:rPr>
            </w:pPr>
          </w:p>
        </w:tc>
        <w:tc>
          <w:tcPr>
            <w:tcW w:w="1159" w:type="dxa"/>
            <w:tcBorders>
              <w:top w:val="nil"/>
              <w:left w:val="nil"/>
              <w:bottom w:val="single" w:sz="4" w:space="0" w:color="auto"/>
              <w:right w:val="single" w:sz="4" w:space="0" w:color="auto"/>
            </w:tcBorders>
            <w:shd w:val="clear" w:color="000000" w:fill="FFFFFF"/>
            <w:vAlign w:val="bottom"/>
          </w:tcPr>
          <w:p w:rsidR="00BD1220" w:rsidRPr="000A6D27" w:rsidRDefault="00BD1220" w:rsidP="000A6D27">
            <w:pPr>
              <w:rPr>
                <w:rFonts w:cs="Arial"/>
                <w:b/>
                <w:bCs/>
                <w:sz w:val="20"/>
                <w:szCs w:val="20"/>
              </w:rPr>
            </w:pPr>
          </w:p>
        </w:tc>
        <w:tc>
          <w:tcPr>
            <w:tcW w:w="1159" w:type="dxa"/>
            <w:tcBorders>
              <w:top w:val="nil"/>
              <w:left w:val="nil"/>
              <w:bottom w:val="single" w:sz="4" w:space="0" w:color="auto"/>
              <w:right w:val="single" w:sz="4" w:space="0" w:color="auto"/>
            </w:tcBorders>
            <w:shd w:val="clear" w:color="000000" w:fill="FFFFFF"/>
            <w:vAlign w:val="bottom"/>
          </w:tcPr>
          <w:p w:rsidR="00BD1220" w:rsidRPr="000A6D27" w:rsidRDefault="00BD1220" w:rsidP="000A6D27">
            <w:pPr>
              <w:rPr>
                <w:rFonts w:cs="Arial"/>
                <w:b/>
                <w:bCs/>
                <w:sz w:val="20"/>
                <w:szCs w:val="20"/>
              </w:rPr>
            </w:pPr>
          </w:p>
        </w:tc>
        <w:tc>
          <w:tcPr>
            <w:tcW w:w="1056" w:type="dxa"/>
            <w:tcBorders>
              <w:top w:val="nil"/>
              <w:left w:val="nil"/>
              <w:bottom w:val="single" w:sz="4" w:space="0" w:color="auto"/>
              <w:right w:val="single" w:sz="4" w:space="0" w:color="auto"/>
            </w:tcBorders>
            <w:shd w:val="clear" w:color="000000" w:fill="FFFFFF"/>
            <w:vAlign w:val="bottom"/>
          </w:tcPr>
          <w:p w:rsidR="00BD1220" w:rsidRPr="000A6D27" w:rsidRDefault="00BD1220" w:rsidP="000A6D27">
            <w:pPr>
              <w:rPr>
                <w:rFonts w:cs="Arial"/>
                <w:b/>
                <w:bCs/>
                <w:sz w:val="20"/>
                <w:szCs w:val="20"/>
              </w:rPr>
            </w:pPr>
          </w:p>
        </w:tc>
        <w:tc>
          <w:tcPr>
            <w:tcW w:w="1487" w:type="dxa"/>
            <w:tcBorders>
              <w:top w:val="nil"/>
              <w:left w:val="nil"/>
              <w:bottom w:val="single" w:sz="4" w:space="0" w:color="auto"/>
              <w:right w:val="single" w:sz="4" w:space="0" w:color="auto"/>
            </w:tcBorders>
            <w:shd w:val="clear" w:color="000000" w:fill="FFFFFF"/>
            <w:vAlign w:val="bottom"/>
          </w:tcPr>
          <w:p w:rsidR="00BD1220" w:rsidRDefault="00BD1220" w:rsidP="000A6D27">
            <w:pPr>
              <w:jc w:val="right"/>
              <w:rPr>
                <w:rFonts w:cs="Arial"/>
                <w:b/>
                <w:bCs/>
                <w:sz w:val="20"/>
                <w:szCs w:val="20"/>
              </w:rPr>
            </w:pPr>
          </w:p>
        </w:tc>
      </w:tr>
      <w:tr w:rsidR="000A6D27" w:rsidRPr="000A6D27" w:rsidTr="00E72977">
        <w:trPr>
          <w:trHeight w:val="510"/>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0A6D27" w:rsidRPr="000A6D27" w:rsidRDefault="000A6D27" w:rsidP="000A6D27">
            <w:pPr>
              <w:jc w:val="right"/>
              <w:rPr>
                <w:rFonts w:cs="Arial"/>
                <w:sz w:val="20"/>
                <w:szCs w:val="20"/>
              </w:rPr>
            </w:pPr>
            <w:r w:rsidRPr="000A6D27">
              <w:rPr>
                <w:rFonts w:cs="Arial"/>
                <w:sz w:val="20"/>
                <w:szCs w:val="20"/>
              </w:rPr>
              <w:t>264</w:t>
            </w:r>
          </w:p>
        </w:tc>
        <w:tc>
          <w:tcPr>
            <w:tcW w:w="1195"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Obveze za kredite i zajmove</w:t>
            </w:r>
          </w:p>
        </w:tc>
        <w:tc>
          <w:tcPr>
            <w:tcW w:w="1384" w:type="dxa"/>
            <w:tcBorders>
              <w:top w:val="nil"/>
              <w:left w:val="nil"/>
              <w:bottom w:val="single" w:sz="4" w:space="0" w:color="auto"/>
              <w:right w:val="single" w:sz="4" w:space="0" w:color="auto"/>
            </w:tcBorders>
            <w:shd w:val="clear" w:color="000000" w:fill="FFFFFF"/>
            <w:vAlign w:val="bottom"/>
            <w:hideMark/>
          </w:tcPr>
          <w:p w:rsidR="000A6D27" w:rsidRPr="000A6D27" w:rsidRDefault="00A062B6" w:rsidP="000A6D27">
            <w:pPr>
              <w:jc w:val="right"/>
              <w:rPr>
                <w:rFonts w:cs="Arial"/>
                <w:b/>
                <w:bCs/>
                <w:sz w:val="20"/>
                <w:szCs w:val="20"/>
              </w:rPr>
            </w:pPr>
            <w:r>
              <w:rPr>
                <w:rFonts w:cs="Arial"/>
                <w:b/>
                <w:bCs/>
                <w:sz w:val="20"/>
                <w:szCs w:val="20"/>
              </w:rPr>
              <w:t>207.419,52</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056"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487" w:type="dxa"/>
            <w:tcBorders>
              <w:top w:val="nil"/>
              <w:left w:val="nil"/>
              <w:bottom w:val="single" w:sz="4" w:space="0" w:color="auto"/>
              <w:right w:val="single" w:sz="4" w:space="0" w:color="auto"/>
            </w:tcBorders>
            <w:shd w:val="clear" w:color="000000" w:fill="FFFFFF"/>
            <w:vAlign w:val="bottom"/>
            <w:hideMark/>
          </w:tcPr>
          <w:p w:rsidR="000A6D27" w:rsidRPr="000A6D27" w:rsidRDefault="00A062B6" w:rsidP="000A6D27">
            <w:pPr>
              <w:jc w:val="right"/>
              <w:rPr>
                <w:rFonts w:cs="Arial"/>
                <w:b/>
                <w:bCs/>
                <w:sz w:val="20"/>
                <w:szCs w:val="20"/>
              </w:rPr>
            </w:pPr>
            <w:r>
              <w:rPr>
                <w:rFonts w:cs="Arial"/>
                <w:b/>
                <w:bCs/>
                <w:sz w:val="20"/>
                <w:szCs w:val="20"/>
              </w:rPr>
              <w:t>217.419,52</w:t>
            </w:r>
          </w:p>
        </w:tc>
        <w:bookmarkStart w:id="0" w:name="_GoBack"/>
        <w:bookmarkEnd w:id="0"/>
      </w:tr>
      <w:tr w:rsidR="000A6D27" w:rsidRPr="000A6D27" w:rsidTr="00E72977">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w:t>
            </w:r>
          </w:p>
        </w:tc>
        <w:tc>
          <w:tcPr>
            <w:tcW w:w="1195"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w:t>
            </w:r>
          </w:p>
        </w:tc>
        <w:tc>
          <w:tcPr>
            <w:tcW w:w="1384"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b/>
                <w:bCs/>
                <w:sz w:val="20"/>
                <w:szCs w:val="20"/>
              </w:rPr>
            </w:pPr>
            <w:r w:rsidRPr="000A6D27">
              <w:rPr>
                <w:rFonts w:cs="Arial"/>
                <w:b/>
                <w:bCs/>
                <w:sz w:val="20"/>
                <w:szCs w:val="20"/>
              </w:rPr>
              <w:t> </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w:t>
            </w:r>
          </w:p>
        </w:tc>
        <w:tc>
          <w:tcPr>
            <w:tcW w:w="1159"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w:t>
            </w:r>
          </w:p>
        </w:tc>
        <w:tc>
          <w:tcPr>
            <w:tcW w:w="1056"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w:t>
            </w:r>
          </w:p>
        </w:tc>
        <w:tc>
          <w:tcPr>
            <w:tcW w:w="1487"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 </w:t>
            </w:r>
          </w:p>
        </w:tc>
      </w:tr>
      <w:tr w:rsidR="000A6D27" w:rsidRPr="000A6D27" w:rsidTr="00E72977">
        <w:trPr>
          <w:trHeight w:val="25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A6D27" w:rsidRPr="000A6D27" w:rsidRDefault="000A6D27" w:rsidP="000A6D27">
            <w:pPr>
              <w:rPr>
                <w:rFonts w:cs="Arial"/>
                <w:sz w:val="20"/>
                <w:szCs w:val="20"/>
              </w:rPr>
            </w:pPr>
            <w:r w:rsidRPr="000A6D27">
              <w:rPr>
                <w:rFonts w:cs="Arial"/>
                <w:sz w:val="20"/>
                <w:szCs w:val="20"/>
              </w:rPr>
              <w:t> </w:t>
            </w:r>
          </w:p>
        </w:tc>
        <w:tc>
          <w:tcPr>
            <w:tcW w:w="1195" w:type="dxa"/>
            <w:tcBorders>
              <w:top w:val="nil"/>
              <w:left w:val="nil"/>
              <w:bottom w:val="single" w:sz="4" w:space="0" w:color="auto"/>
              <w:right w:val="single" w:sz="4" w:space="0" w:color="auto"/>
            </w:tcBorders>
            <w:shd w:val="clear" w:color="000000" w:fill="FFFFFF"/>
            <w:vAlign w:val="bottom"/>
            <w:hideMark/>
          </w:tcPr>
          <w:p w:rsidR="000A6D27" w:rsidRPr="000A6D27" w:rsidRDefault="000A6D27" w:rsidP="000A6D27">
            <w:pPr>
              <w:rPr>
                <w:rFonts w:cs="Arial"/>
                <w:sz w:val="20"/>
                <w:szCs w:val="20"/>
              </w:rPr>
            </w:pPr>
            <w:r w:rsidRPr="000A6D27">
              <w:rPr>
                <w:rFonts w:cs="Arial"/>
                <w:sz w:val="20"/>
                <w:szCs w:val="20"/>
              </w:rPr>
              <w:t>UKUPNO OBVEZE</w:t>
            </w:r>
          </w:p>
        </w:tc>
        <w:tc>
          <w:tcPr>
            <w:tcW w:w="1384" w:type="dxa"/>
            <w:tcBorders>
              <w:top w:val="nil"/>
              <w:left w:val="nil"/>
              <w:bottom w:val="single" w:sz="4" w:space="0" w:color="auto"/>
              <w:right w:val="single" w:sz="4" w:space="0" w:color="auto"/>
            </w:tcBorders>
            <w:shd w:val="clear" w:color="000000" w:fill="FFFFFF"/>
            <w:noWrap/>
            <w:vAlign w:val="bottom"/>
            <w:hideMark/>
          </w:tcPr>
          <w:p w:rsidR="000A6D27" w:rsidRPr="000A6D27" w:rsidRDefault="00A062B6" w:rsidP="00747778">
            <w:pPr>
              <w:jc w:val="right"/>
              <w:rPr>
                <w:rFonts w:cs="Arial"/>
                <w:b/>
                <w:bCs/>
                <w:sz w:val="20"/>
                <w:szCs w:val="20"/>
              </w:rPr>
            </w:pPr>
            <w:r>
              <w:rPr>
                <w:rFonts w:cs="Arial"/>
                <w:b/>
                <w:bCs/>
                <w:sz w:val="20"/>
                <w:szCs w:val="20"/>
              </w:rPr>
              <w:t>1.248.568,25</w:t>
            </w: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jc w:val="right"/>
              <w:rPr>
                <w:rFonts w:cs="Arial"/>
                <w:b/>
                <w:bCs/>
                <w:sz w:val="20"/>
                <w:szCs w:val="20"/>
              </w:rPr>
            </w:pP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E72977">
            <w:pPr>
              <w:jc w:val="right"/>
              <w:rPr>
                <w:rFonts w:cs="Arial"/>
                <w:b/>
                <w:bCs/>
                <w:sz w:val="20"/>
                <w:szCs w:val="20"/>
              </w:rPr>
            </w:pPr>
          </w:p>
        </w:tc>
        <w:tc>
          <w:tcPr>
            <w:tcW w:w="1159" w:type="dxa"/>
            <w:tcBorders>
              <w:top w:val="nil"/>
              <w:left w:val="nil"/>
              <w:bottom w:val="single" w:sz="4" w:space="0" w:color="auto"/>
              <w:right w:val="single" w:sz="4" w:space="0" w:color="auto"/>
            </w:tcBorders>
            <w:shd w:val="clear" w:color="000000" w:fill="FFFFFF"/>
            <w:noWrap/>
            <w:vAlign w:val="bottom"/>
            <w:hideMark/>
          </w:tcPr>
          <w:p w:rsidR="000A6D27" w:rsidRPr="000A6D27" w:rsidRDefault="000A6D27" w:rsidP="000A6D27">
            <w:pPr>
              <w:jc w:val="right"/>
              <w:rPr>
                <w:rFonts w:cs="Arial"/>
                <w:b/>
                <w:bCs/>
                <w:sz w:val="20"/>
                <w:szCs w:val="20"/>
              </w:rPr>
            </w:pPr>
            <w:r w:rsidRPr="000A6D27">
              <w:rPr>
                <w:rFonts w:cs="Arial"/>
                <w:b/>
                <w:bCs/>
                <w:sz w:val="20"/>
                <w:szCs w:val="20"/>
              </w:rPr>
              <w:t>0</w:t>
            </w:r>
          </w:p>
        </w:tc>
        <w:tc>
          <w:tcPr>
            <w:tcW w:w="1056" w:type="dxa"/>
            <w:tcBorders>
              <w:top w:val="nil"/>
              <w:left w:val="nil"/>
              <w:bottom w:val="single" w:sz="4" w:space="0" w:color="auto"/>
              <w:right w:val="single" w:sz="4" w:space="0" w:color="auto"/>
            </w:tcBorders>
            <w:shd w:val="clear" w:color="000000" w:fill="FFFFFF"/>
            <w:noWrap/>
            <w:vAlign w:val="bottom"/>
            <w:hideMark/>
          </w:tcPr>
          <w:p w:rsidR="000A6D27" w:rsidRPr="000A6D27" w:rsidRDefault="00A062B6" w:rsidP="00796A45">
            <w:pPr>
              <w:jc w:val="right"/>
              <w:rPr>
                <w:rFonts w:cs="Arial"/>
                <w:b/>
                <w:bCs/>
                <w:sz w:val="20"/>
                <w:szCs w:val="20"/>
              </w:rPr>
            </w:pPr>
            <w:r>
              <w:rPr>
                <w:rFonts w:cs="Arial"/>
                <w:b/>
                <w:bCs/>
                <w:sz w:val="20"/>
                <w:szCs w:val="20"/>
              </w:rPr>
              <w:t>212</w:t>
            </w:r>
          </w:p>
        </w:tc>
        <w:tc>
          <w:tcPr>
            <w:tcW w:w="1487" w:type="dxa"/>
            <w:tcBorders>
              <w:top w:val="nil"/>
              <w:left w:val="nil"/>
              <w:bottom w:val="single" w:sz="4" w:space="0" w:color="auto"/>
              <w:right w:val="single" w:sz="4" w:space="0" w:color="auto"/>
            </w:tcBorders>
            <w:shd w:val="clear" w:color="000000" w:fill="FFFFFF"/>
            <w:noWrap/>
            <w:vAlign w:val="bottom"/>
            <w:hideMark/>
          </w:tcPr>
          <w:p w:rsidR="000A6D27" w:rsidRPr="000A6D27" w:rsidRDefault="00A062B6" w:rsidP="00796A45">
            <w:pPr>
              <w:jc w:val="right"/>
              <w:rPr>
                <w:rFonts w:cs="Arial"/>
                <w:b/>
                <w:bCs/>
                <w:sz w:val="20"/>
                <w:szCs w:val="20"/>
              </w:rPr>
            </w:pPr>
            <w:r>
              <w:rPr>
                <w:rFonts w:cs="Arial"/>
                <w:b/>
                <w:bCs/>
                <w:sz w:val="20"/>
                <w:szCs w:val="20"/>
              </w:rPr>
              <w:t>1.248.356,25</w:t>
            </w:r>
          </w:p>
        </w:tc>
      </w:tr>
    </w:tbl>
    <w:p w:rsidR="002B63AC" w:rsidRDefault="002B63AC" w:rsidP="002B63AC">
      <w:pPr>
        <w:pStyle w:val="Odlomakpopisa"/>
      </w:pPr>
    </w:p>
    <w:p w:rsidR="003E2620" w:rsidRPr="0081640D" w:rsidRDefault="003E2620" w:rsidP="002B63AC">
      <w:pPr>
        <w:pStyle w:val="Odlomakpopisa"/>
      </w:pPr>
    </w:p>
    <w:p w:rsidR="002B63AC" w:rsidRPr="0081640D" w:rsidRDefault="002B63AC" w:rsidP="002B63AC">
      <w:pPr>
        <w:pStyle w:val="Odlomakpopisa"/>
      </w:pPr>
    </w:p>
    <w:p w:rsidR="002B63AC" w:rsidRPr="0081640D" w:rsidRDefault="002B63AC" w:rsidP="00BB5A65">
      <w:r w:rsidRPr="0081640D">
        <w:t>U Kutini,</w:t>
      </w:r>
      <w:r w:rsidR="00F50A9A">
        <w:t xml:space="preserve"> </w:t>
      </w:r>
      <w:r w:rsidR="00BB5A65">
        <w:t>31.</w:t>
      </w:r>
      <w:r w:rsidR="0010620A">
        <w:t>01.20</w:t>
      </w:r>
      <w:r w:rsidR="00796A45">
        <w:t>2</w:t>
      </w:r>
      <w:r w:rsidR="00A062B6">
        <w:t>3</w:t>
      </w:r>
      <w:r w:rsidR="00796A45">
        <w:t>.</w:t>
      </w:r>
      <w:r w:rsidR="00BB5A65">
        <w:t xml:space="preserve">       </w:t>
      </w:r>
      <w:r w:rsidRPr="0081640D">
        <w:t xml:space="preserve">  Osoba za kontaktiranje:                   </w:t>
      </w:r>
      <w:r w:rsidR="005004B9" w:rsidRPr="0081640D">
        <w:t xml:space="preserve"> </w:t>
      </w:r>
      <w:r w:rsidRPr="0081640D">
        <w:t xml:space="preserve">  Ravnatelj:</w:t>
      </w:r>
    </w:p>
    <w:p w:rsidR="002B63AC" w:rsidRDefault="002B63AC" w:rsidP="002B63AC">
      <w:pPr>
        <w:pStyle w:val="Odlomakpopisa"/>
      </w:pPr>
      <w:r w:rsidRPr="0081640D">
        <w:tab/>
      </w:r>
      <w:r w:rsidRPr="0081640D">
        <w:tab/>
      </w:r>
      <w:r w:rsidRPr="0081640D">
        <w:tab/>
        <w:t xml:space="preserve"> Verica Košutić                                    Ivica </w:t>
      </w:r>
      <w:proofErr w:type="spellStart"/>
      <w:r w:rsidRPr="0081640D">
        <w:t>Petrović,prof</w:t>
      </w:r>
      <w:proofErr w:type="spellEnd"/>
      <w:r w:rsidRPr="0081640D">
        <w:t>.</w:t>
      </w:r>
    </w:p>
    <w:p w:rsidR="002B63AC" w:rsidRPr="009F34A7" w:rsidRDefault="002B63AC" w:rsidP="002B63AC"/>
    <w:sectPr w:rsidR="002B63AC" w:rsidRPr="009F34A7" w:rsidSect="002747B5">
      <w:headerReference w:type="even" r:id="rId9"/>
      <w:headerReference w:type="default" r:id="rId10"/>
      <w:footerReference w:type="even" r:id="rId11"/>
      <w:footerReference w:type="default" r:id="rId12"/>
      <w:headerReference w:type="first" r:id="rId13"/>
      <w:footerReference w:type="first" r:id="rId14"/>
      <w:pgSz w:w="12240" w:h="15840"/>
      <w:pgMar w:top="567" w:right="1418"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17" w:rsidRDefault="00FA1A17" w:rsidP="005931EB">
      <w:r>
        <w:separator/>
      </w:r>
    </w:p>
  </w:endnote>
  <w:endnote w:type="continuationSeparator" w:id="0">
    <w:p w:rsidR="00FA1A17" w:rsidRDefault="00FA1A17" w:rsidP="0059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42" w:rsidRDefault="007860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81811"/>
      <w:docPartObj>
        <w:docPartGallery w:val="Page Numbers (Bottom of Page)"/>
        <w:docPartUnique/>
      </w:docPartObj>
    </w:sdtPr>
    <w:sdtContent>
      <w:p w:rsidR="00786042" w:rsidRDefault="00786042">
        <w:pPr>
          <w:pStyle w:val="Podnoje"/>
          <w:jc w:val="right"/>
        </w:pPr>
        <w:r>
          <w:fldChar w:fldCharType="begin"/>
        </w:r>
        <w:r>
          <w:instrText>PAGE   \* MERGEFORMAT</w:instrText>
        </w:r>
        <w:r>
          <w:fldChar w:fldCharType="separate"/>
        </w:r>
        <w:r w:rsidR="00A062B6">
          <w:rPr>
            <w:noProof/>
          </w:rPr>
          <w:t>9</w:t>
        </w:r>
        <w:r>
          <w:fldChar w:fldCharType="end"/>
        </w:r>
      </w:p>
    </w:sdtContent>
  </w:sdt>
  <w:p w:rsidR="00786042" w:rsidRDefault="007860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42" w:rsidRDefault="007860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17" w:rsidRDefault="00FA1A17" w:rsidP="005931EB">
      <w:r>
        <w:separator/>
      </w:r>
    </w:p>
  </w:footnote>
  <w:footnote w:type="continuationSeparator" w:id="0">
    <w:p w:rsidR="00FA1A17" w:rsidRDefault="00FA1A17" w:rsidP="0059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42" w:rsidRDefault="007860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42" w:rsidRDefault="0078604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42" w:rsidRDefault="0078604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D08"/>
    <w:multiLevelType w:val="hybridMultilevel"/>
    <w:tmpl w:val="1AFA5848"/>
    <w:lvl w:ilvl="0" w:tplc="041A000F">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A73159"/>
    <w:multiLevelType w:val="hybridMultilevel"/>
    <w:tmpl w:val="54F839C4"/>
    <w:lvl w:ilvl="0" w:tplc="041A000F">
      <w:start w:val="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6B6D58"/>
    <w:multiLevelType w:val="hybridMultilevel"/>
    <w:tmpl w:val="A8B23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B253A7"/>
    <w:multiLevelType w:val="hybridMultilevel"/>
    <w:tmpl w:val="ECAADF96"/>
    <w:lvl w:ilvl="0" w:tplc="041A000F">
      <w:start w:val="3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3C379F"/>
    <w:multiLevelType w:val="hybridMultilevel"/>
    <w:tmpl w:val="7F16ECA4"/>
    <w:lvl w:ilvl="0" w:tplc="65F044AA">
      <w:start w:val="1"/>
      <w:numFmt w:val="lowerLetter"/>
      <w:lvlText w:val="%1)"/>
      <w:lvlJc w:val="left"/>
      <w:pPr>
        <w:ind w:left="1210" w:hanging="360"/>
      </w:pPr>
      <w:rPr>
        <w:rFonts w:hint="default"/>
      </w:rPr>
    </w:lvl>
    <w:lvl w:ilvl="1" w:tplc="041A0019" w:tentative="1">
      <w:start w:val="1"/>
      <w:numFmt w:val="lowerLetter"/>
      <w:lvlText w:val="%2."/>
      <w:lvlJc w:val="left"/>
      <w:pPr>
        <w:ind w:left="1665" w:hanging="360"/>
      </w:pPr>
    </w:lvl>
    <w:lvl w:ilvl="2" w:tplc="041A001B" w:tentative="1">
      <w:start w:val="1"/>
      <w:numFmt w:val="lowerRoman"/>
      <w:lvlText w:val="%3."/>
      <w:lvlJc w:val="right"/>
      <w:pPr>
        <w:ind w:left="2385" w:hanging="180"/>
      </w:pPr>
    </w:lvl>
    <w:lvl w:ilvl="3" w:tplc="041A000F" w:tentative="1">
      <w:start w:val="1"/>
      <w:numFmt w:val="decimal"/>
      <w:lvlText w:val="%4."/>
      <w:lvlJc w:val="left"/>
      <w:pPr>
        <w:ind w:left="3105" w:hanging="360"/>
      </w:pPr>
    </w:lvl>
    <w:lvl w:ilvl="4" w:tplc="041A0019" w:tentative="1">
      <w:start w:val="1"/>
      <w:numFmt w:val="lowerLetter"/>
      <w:lvlText w:val="%5."/>
      <w:lvlJc w:val="left"/>
      <w:pPr>
        <w:ind w:left="3825" w:hanging="360"/>
      </w:pPr>
    </w:lvl>
    <w:lvl w:ilvl="5" w:tplc="041A001B" w:tentative="1">
      <w:start w:val="1"/>
      <w:numFmt w:val="lowerRoman"/>
      <w:lvlText w:val="%6."/>
      <w:lvlJc w:val="right"/>
      <w:pPr>
        <w:ind w:left="4545" w:hanging="180"/>
      </w:pPr>
    </w:lvl>
    <w:lvl w:ilvl="6" w:tplc="041A000F" w:tentative="1">
      <w:start w:val="1"/>
      <w:numFmt w:val="decimal"/>
      <w:lvlText w:val="%7."/>
      <w:lvlJc w:val="left"/>
      <w:pPr>
        <w:ind w:left="5265" w:hanging="360"/>
      </w:pPr>
    </w:lvl>
    <w:lvl w:ilvl="7" w:tplc="041A0019" w:tentative="1">
      <w:start w:val="1"/>
      <w:numFmt w:val="lowerLetter"/>
      <w:lvlText w:val="%8."/>
      <w:lvlJc w:val="left"/>
      <w:pPr>
        <w:ind w:left="5985" w:hanging="360"/>
      </w:pPr>
    </w:lvl>
    <w:lvl w:ilvl="8" w:tplc="041A001B" w:tentative="1">
      <w:start w:val="1"/>
      <w:numFmt w:val="lowerRoman"/>
      <w:lvlText w:val="%9."/>
      <w:lvlJc w:val="right"/>
      <w:pPr>
        <w:ind w:left="6705"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EC"/>
    <w:rsid w:val="00000CEA"/>
    <w:rsid w:val="00003B43"/>
    <w:rsid w:val="000048CE"/>
    <w:rsid w:val="0000575F"/>
    <w:rsid w:val="000060FD"/>
    <w:rsid w:val="000108B7"/>
    <w:rsid w:val="000261E0"/>
    <w:rsid w:val="000335AF"/>
    <w:rsid w:val="00034851"/>
    <w:rsid w:val="00046DAD"/>
    <w:rsid w:val="00060907"/>
    <w:rsid w:val="000616B1"/>
    <w:rsid w:val="000656E0"/>
    <w:rsid w:val="00071850"/>
    <w:rsid w:val="00077657"/>
    <w:rsid w:val="000821AB"/>
    <w:rsid w:val="00083EBE"/>
    <w:rsid w:val="000A15B2"/>
    <w:rsid w:val="000A6D27"/>
    <w:rsid w:val="000B12AC"/>
    <w:rsid w:val="000B59A2"/>
    <w:rsid w:val="000C49BC"/>
    <w:rsid w:val="000D0139"/>
    <w:rsid w:val="000D63E2"/>
    <w:rsid w:val="000E03DB"/>
    <w:rsid w:val="000E1FFE"/>
    <w:rsid w:val="0010620A"/>
    <w:rsid w:val="001066AE"/>
    <w:rsid w:val="00113FE9"/>
    <w:rsid w:val="00116123"/>
    <w:rsid w:val="00121356"/>
    <w:rsid w:val="00121426"/>
    <w:rsid w:val="00126FEC"/>
    <w:rsid w:val="00127A82"/>
    <w:rsid w:val="00153FF3"/>
    <w:rsid w:val="0015453A"/>
    <w:rsid w:val="001547E7"/>
    <w:rsid w:val="001610C1"/>
    <w:rsid w:val="00164C05"/>
    <w:rsid w:val="001A3FB3"/>
    <w:rsid w:val="001B0925"/>
    <w:rsid w:val="001B5802"/>
    <w:rsid w:val="001C00B7"/>
    <w:rsid w:val="001D2311"/>
    <w:rsid w:val="001E094B"/>
    <w:rsid w:val="001E2D98"/>
    <w:rsid w:val="001E7314"/>
    <w:rsid w:val="001F1F3E"/>
    <w:rsid w:val="001F4D53"/>
    <w:rsid w:val="0020266C"/>
    <w:rsid w:val="0021249E"/>
    <w:rsid w:val="00216669"/>
    <w:rsid w:val="00224773"/>
    <w:rsid w:val="002253E4"/>
    <w:rsid w:val="00230BB7"/>
    <w:rsid w:val="00230CAD"/>
    <w:rsid w:val="0024368F"/>
    <w:rsid w:val="002525A0"/>
    <w:rsid w:val="002569CD"/>
    <w:rsid w:val="0026604A"/>
    <w:rsid w:val="00271811"/>
    <w:rsid w:val="002747B5"/>
    <w:rsid w:val="002A658D"/>
    <w:rsid w:val="002A754C"/>
    <w:rsid w:val="002B09AD"/>
    <w:rsid w:val="002B63AC"/>
    <w:rsid w:val="002B74EE"/>
    <w:rsid w:val="002B78F0"/>
    <w:rsid w:val="002D10B7"/>
    <w:rsid w:val="002D485D"/>
    <w:rsid w:val="002D7142"/>
    <w:rsid w:val="002E3AC0"/>
    <w:rsid w:val="002E4366"/>
    <w:rsid w:val="00305FC3"/>
    <w:rsid w:val="00315B7A"/>
    <w:rsid w:val="00317927"/>
    <w:rsid w:val="003227AB"/>
    <w:rsid w:val="0033116B"/>
    <w:rsid w:val="00333151"/>
    <w:rsid w:val="003374DE"/>
    <w:rsid w:val="00345F57"/>
    <w:rsid w:val="0035022F"/>
    <w:rsid w:val="00351CB2"/>
    <w:rsid w:val="003520C8"/>
    <w:rsid w:val="00361BBE"/>
    <w:rsid w:val="00371912"/>
    <w:rsid w:val="0037631A"/>
    <w:rsid w:val="00377706"/>
    <w:rsid w:val="00384136"/>
    <w:rsid w:val="00391BBA"/>
    <w:rsid w:val="003A384D"/>
    <w:rsid w:val="003C1856"/>
    <w:rsid w:val="003D0CEE"/>
    <w:rsid w:val="003D1D0C"/>
    <w:rsid w:val="003D3D8A"/>
    <w:rsid w:val="003D53D0"/>
    <w:rsid w:val="003D7734"/>
    <w:rsid w:val="003E10C8"/>
    <w:rsid w:val="003E13DF"/>
    <w:rsid w:val="003E2620"/>
    <w:rsid w:val="003F2F29"/>
    <w:rsid w:val="003F34C4"/>
    <w:rsid w:val="0040271F"/>
    <w:rsid w:val="00403345"/>
    <w:rsid w:val="00405456"/>
    <w:rsid w:val="004373A1"/>
    <w:rsid w:val="00437C8A"/>
    <w:rsid w:val="0044318F"/>
    <w:rsid w:val="00443E6E"/>
    <w:rsid w:val="00463629"/>
    <w:rsid w:val="004777CE"/>
    <w:rsid w:val="0048322B"/>
    <w:rsid w:val="0048328F"/>
    <w:rsid w:val="00484EE5"/>
    <w:rsid w:val="00495C45"/>
    <w:rsid w:val="004A502D"/>
    <w:rsid w:val="004A5E3F"/>
    <w:rsid w:val="004C27A1"/>
    <w:rsid w:val="004D0A4F"/>
    <w:rsid w:val="004D3F65"/>
    <w:rsid w:val="004D62D6"/>
    <w:rsid w:val="004E498B"/>
    <w:rsid w:val="004E4FD3"/>
    <w:rsid w:val="004F0914"/>
    <w:rsid w:val="004F1ED8"/>
    <w:rsid w:val="004F3224"/>
    <w:rsid w:val="005004B9"/>
    <w:rsid w:val="005077A5"/>
    <w:rsid w:val="00545794"/>
    <w:rsid w:val="005619F5"/>
    <w:rsid w:val="00562354"/>
    <w:rsid w:val="005760ED"/>
    <w:rsid w:val="00590C46"/>
    <w:rsid w:val="005931EB"/>
    <w:rsid w:val="005A09CD"/>
    <w:rsid w:val="005A5104"/>
    <w:rsid w:val="005A5940"/>
    <w:rsid w:val="005A76D1"/>
    <w:rsid w:val="005B5600"/>
    <w:rsid w:val="005B5ED2"/>
    <w:rsid w:val="005D0258"/>
    <w:rsid w:val="005E22BF"/>
    <w:rsid w:val="00610FFE"/>
    <w:rsid w:val="00614146"/>
    <w:rsid w:val="00614811"/>
    <w:rsid w:val="00624C78"/>
    <w:rsid w:val="00625581"/>
    <w:rsid w:val="00631D1E"/>
    <w:rsid w:val="00632D35"/>
    <w:rsid w:val="00635FED"/>
    <w:rsid w:val="006412D9"/>
    <w:rsid w:val="00646D58"/>
    <w:rsid w:val="0064758A"/>
    <w:rsid w:val="00666711"/>
    <w:rsid w:val="00684E42"/>
    <w:rsid w:val="00687D19"/>
    <w:rsid w:val="00693A5A"/>
    <w:rsid w:val="006A2EF7"/>
    <w:rsid w:val="006B1468"/>
    <w:rsid w:val="006D2EDF"/>
    <w:rsid w:val="006E7BAD"/>
    <w:rsid w:val="007005D4"/>
    <w:rsid w:val="007157B2"/>
    <w:rsid w:val="007165FA"/>
    <w:rsid w:val="00716A42"/>
    <w:rsid w:val="00717232"/>
    <w:rsid w:val="00720F74"/>
    <w:rsid w:val="007279F3"/>
    <w:rsid w:val="0073226A"/>
    <w:rsid w:val="00734907"/>
    <w:rsid w:val="007373F4"/>
    <w:rsid w:val="007432F0"/>
    <w:rsid w:val="00747778"/>
    <w:rsid w:val="0075151A"/>
    <w:rsid w:val="00757C8B"/>
    <w:rsid w:val="00762A0A"/>
    <w:rsid w:val="00771B03"/>
    <w:rsid w:val="00772AC0"/>
    <w:rsid w:val="00773707"/>
    <w:rsid w:val="00775097"/>
    <w:rsid w:val="00776E19"/>
    <w:rsid w:val="00786042"/>
    <w:rsid w:val="00791DF0"/>
    <w:rsid w:val="00796A45"/>
    <w:rsid w:val="007A3F34"/>
    <w:rsid w:val="007E42DA"/>
    <w:rsid w:val="007F5175"/>
    <w:rsid w:val="00806D3F"/>
    <w:rsid w:val="00811CAA"/>
    <w:rsid w:val="00812A40"/>
    <w:rsid w:val="0081640D"/>
    <w:rsid w:val="0083589B"/>
    <w:rsid w:val="00836BB7"/>
    <w:rsid w:val="008371E2"/>
    <w:rsid w:val="00844431"/>
    <w:rsid w:val="00861572"/>
    <w:rsid w:val="008618D3"/>
    <w:rsid w:val="00876A46"/>
    <w:rsid w:val="008827AA"/>
    <w:rsid w:val="00884245"/>
    <w:rsid w:val="00892C44"/>
    <w:rsid w:val="008C3500"/>
    <w:rsid w:val="008C72CA"/>
    <w:rsid w:val="008D6DD1"/>
    <w:rsid w:val="008F43D1"/>
    <w:rsid w:val="008F4942"/>
    <w:rsid w:val="0091689E"/>
    <w:rsid w:val="009204CB"/>
    <w:rsid w:val="009244D0"/>
    <w:rsid w:val="0092636F"/>
    <w:rsid w:val="00926562"/>
    <w:rsid w:val="0094702E"/>
    <w:rsid w:val="009519D4"/>
    <w:rsid w:val="009665C7"/>
    <w:rsid w:val="009754EC"/>
    <w:rsid w:val="009765E2"/>
    <w:rsid w:val="009949D1"/>
    <w:rsid w:val="009A0630"/>
    <w:rsid w:val="009A2145"/>
    <w:rsid w:val="009C0E5F"/>
    <w:rsid w:val="009F34A7"/>
    <w:rsid w:val="00A014A9"/>
    <w:rsid w:val="00A05936"/>
    <w:rsid w:val="00A062B6"/>
    <w:rsid w:val="00A205A7"/>
    <w:rsid w:val="00A26AC5"/>
    <w:rsid w:val="00A305BB"/>
    <w:rsid w:val="00A336CC"/>
    <w:rsid w:val="00A5260C"/>
    <w:rsid w:val="00A569C9"/>
    <w:rsid w:val="00A5748E"/>
    <w:rsid w:val="00A60C59"/>
    <w:rsid w:val="00A724FC"/>
    <w:rsid w:val="00A962EF"/>
    <w:rsid w:val="00A97548"/>
    <w:rsid w:val="00AA61C5"/>
    <w:rsid w:val="00AD0B08"/>
    <w:rsid w:val="00AE53AD"/>
    <w:rsid w:val="00AE62C7"/>
    <w:rsid w:val="00B0374E"/>
    <w:rsid w:val="00B21C7A"/>
    <w:rsid w:val="00B4405E"/>
    <w:rsid w:val="00B47B34"/>
    <w:rsid w:val="00B638E9"/>
    <w:rsid w:val="00B63965"/>
    <w:rsid w:val="00B63D1C"/>
    <w:rsid w:val="00B71F60"/>
    <w:rsid w:val="00B8365D"/>
    <w:rsid w:val="00B8675F"/>
    <w:rsid w:val="00B93ECB"/>
    <w:rsid w:val="00B96684"/>
    <w:rsid w:val="00BB4211"/>
    <w:rsid w:val="00BB5A65"/>
    <w:rsid w:val="00BC1F3C"/>
    <w:rsid w:val="00BD1220"/>
    <w:rsid w:val="00BD65C4"/>
    <w:rsid w:val="00BE0E63"/>
    <w:rsid w:val="00BF05B6"/>
    <w:rsid w:val="00BF2038"/>
    <w:rsid w:val="00BF600F"/>
    <w:rsid w:val="00C365C9"/>
    <w:rsid w:val="00C40B29"/>
    <w:rsid w:val="00C54CDF"/>
    <w:rsid w:val="00C66FB7"/>
    <w:rsid w:val="00C6702B"/>
    <w:rsid w:val="00C861FF"/>
    <w:rsid w:val="00C90603"/>
    <w:rsid w:val="00CA5745"/>
    <w:rsid w:val="00CA6963"/>
    <w:rsid w:val="00CA6C86"/>
    <w:rsid w:val="00CA7EE9"/>
    <w:rsid w:val="00CB1B10"/>
    <w:rsid w:val="00CB3936"/>
    <w:rsid w:val="00CB3951"/>
    <w:rsid w:val="00CE131E"/>
    <w:rsid w:val="00D1252C"/>
    <w:rsid w:val="00D13996"/>
    <w:rsid w:val="00D30A0B"/>
    <w:rsid w:val="00D34FD0"/>
    <w:rsid w:val="00D46464"/>
    <w:rsid w:val="00D52F9F"/>
    <w:rsid w:val="00D549DA"/>
    <w:rsid w:val="00D65BC4"/>
    <w:rsid w:val="00D742D5"/>
    <w:rsid w:val="00D763D6"/>
    <w:rsid w:val="00D777C0"/>
    <w:rsid w:val="00DB02BC"/>
    <w:rsid w:val="00DB7D3E"/>
    <w:rsid w:val="00DC4EAE"/>
    <w:rsid w:val="00DC75F0"/>
    <w:rsid w:val="00DD004F"/>
    <w:rsid w:val="00DD4CC5"/>
    <w:rsid w:val="00DE64EA"/>
    <w:rsid w:val="00DF04AC"/>
    <w:rsid w:val="00E01356"/>
    <w:rsid w:val="00E0206A"/>
    <w:rsid w:val="00E035F3"/>
    <w:rsid w:val="00E12470"/>
    <w:rsid w:val="00E25495"/>
    <w:rsid w:val="00E2632F"/>
    <w:rsid w:val="00E263E6"/>
    <w:rsid w:val="00E27893"/>
    <w:rsid w:val="00E314A0"/>
    <w:rsid w:val="00E331B6"/>
    <w:rsid w:val="00E44D0B"/>
    <w:rsid w:val="00E63C47"/>
    <w:rsid w:val="00E64801"/>
    <w:rsid w:val="00E72977"/>
    <w:rsid w:val="00E763B6"/>
    <w:rsid w:val="00E83220"/>
    <w:rsid w:val="00E93ECE"/>
    <w:rsid w:val="00E95EBC"/>
    <w:rsid w:val="00EB1A6A"/>
    <w:rsid w:val="00EE5011"/>
    <w:rsid w:val="00EE7C68"/>
    <w:rsid w:val="00EF03DC"/>
    <w:rsid w:val="00EF337A"/>
    <w:rsid w:val="00F02FE9"/>
    <w:rsid w:val="00F11497"/>
    <w:rsid w:val="00F31187"/>
    <w:rsid w:val="00F368DD"/>
    <w:rsid w:val="00F46352"/>
    <w:rsid w:val="00F50A9A"/>
    <w:rsid w:val="00F55760"/>
    <w:rsid w:val="00F83D5E"/>
    <w:rsid w:val="00FA1A17"/>
    <w:rsid w:val="00FC41A7"/>
    <w:rsid w:val="00FC63A3"/>
    <w:rsid w:val="00FC779D"/>
    <w:rsid w:val="00FE7A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AA76"/>
  <w15:docId w15:val="{3AE2C29C-CFFC-4D43-ADF9-4B063E58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AD"/>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7EE9"/>
    <w:pPr>
      <w:ind w:left="720"/>
      <w:contextualSpacing/>
    </w:pPr>
  </w:style>
  <w:style w:type="character" w:styleId="Hiperveza">
    <w:name w:val="Hyperlink"/>
    <w:basedOn w:val="Zadanifontodlomka"/>
    <w:uiPriority w:val="99"/>
    <w:semiHidden/>
    <w:unhideWhenUsed/>
    <w:rsid w:val="00884245"/>
    <w:rPr>
      <w:color w:val="0000FF"/>
      <w:u w:val="single"/>
    </w:rPr>
  </w:style>
  <w:style w:type="character" w:styleId="SlijeenaHiperveza">
    <w:name w:val="FollowedHyperlink"/>
    <w:basedOn w:val="Zadanifontodlomka"/>
    <w:uiPriority w:val="99"/>
    <w:semiHidden/>
    <w:unhideWhenUsed/>
    <w:rsid w:val="00884245"/>
    <w:rPr>
      <w:color w:val="800080"/>
      <w:u w:val="single"/>
    </w:rPr>
  </w:style>
  <w:style w:type="paragraph" w:customStyle="1" w:styleId="xl65">
    <w:name w:val="xl65"/>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66">
    <w:name w:val="xl66"/>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67">
    <w:name w:val="xl67"/>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68">
    <w:name w:val="xl68"/>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69">
    <w:name w:val="xl69"/>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70">
    <w:name w:val="xl70"/>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71">
    <w:name w:val="xl71"/>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72">
    <w:name w:val="xl72"/>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73">
    <w:name w:val="xl73"/>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rPr>
  </w:style>
  <w:style w:type="paragraph" w:customStyle="1" w:styleId="xl74">
    <w:name w:val="xl74"/>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75">
    <w:name w:val="xl75"/>
    <w:basedOn w:val="Normal"/>
    <w:rsid w:val="0088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rPr>
  </w:style>
  <w:style w:type="paragraph" w:customStyle="1" w:styleId="xl76">
    <w:name w:val="xl76"/>
    <w:basedOn w:val="Normal"/>
    <w:rsid w:val="00884245"/>
    <w:pPr>
      <w:pBdr>
        <w:top w:val="single" w:sz="4" w:space="0" w:color="auto"/>
        <w:left w:val="single" w:sz="4" w:space="0" w:color="auto"/>
        <w:right w:val="single" w:sz="4" w:space="0" w:color="auto"/>
      </w:pBdr>
      <w:shd w:val="clear" w:color="000000" w:fill="FFFFFF"/>
      <w:spacing w:before="100" w:beforeAutospacing="1" w:after="100" w:afterAutospacing="1"/>
    </w:pPr>
    <w:rPr>
      <w:rFonts w:cs="Arial"/>
    </w:rPr>
  </w:style>
  <w:style w:type="paragraph" w:customStyle="1" w:styleId="xl77">
    <w:name w:val="xl77"/>
    <w:basedOn w:val="Normal"/>
    <w:rsid w:val="00884245"/>
    <w:pPr>
      <w:pBdr>
        <w:top w:val="single" w:sz="4" w:space="0" w:color="auto"/>
        <w:left w:val="single" w:sz="4" w:space="0" w:color="auto"/>
        <w:right w:val="single" w:sz="4" w:space="0" w:color="auto"/>
      </w:pBdr>
      <w:shd w:val="clear" w:color="000000" w:fill="FFFFFF"/>
      <w:spacing w:before="100" w:beforeAutospacing="1" w:after="100" w:afterAutospacing="1"/>
    </w:pPr>
    <w:rPr>
      <w:rFonts w:cs="Arial"/>
    </w:rPr>
  </w:style>
  <w:style w:type="paragraph" w:styleId="Zaglavlje">
    <w:name w:val="header"/>
    <w:basedOn w:val="Normal"/>
    <w:link w:val="ZaglavljeChar"/>
    <w:uiPriority w:val="99"/>
    <w:unhideWhenUsed/>
    <w:rsid w:val="005931EB"/>
    <w:pPr>
      <w:tabs>
        <w:tab w:val="center" w:pos="4536"/>
        <w:tab w:val="right" w:pos="9072"/>
      </w:tabs>
    </w:pPr>
  </w:style>
  <w:style w:type="character" w:customStyle="1" w:styleId="ZaglavljeChar">
    <w:name w:val="Zaglavlje Char"/>
    <w:basedOn w:val="Zadanifontodlomka"/>
    <w:link w:val="Zaglavlje"/>
    <w:uiPriority w:val="99"/>
    <w:rsid w:val="005931EB"/>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5931EB"/>
    <w:pPr>
      <w:tabs>
        <w:tab w:val="center" w:pos="4536"/>
        <w:tab w:val="right" w:pos="9072"/>
      </w:tabs>
    </w:pPr>
  </w:style>
  <w:style w:type="character" w:customStyle="1" w:styleId="PodnojeChar">
    <w:name w:val="Podnožje Char"/>
    <w:basedOn w:val="Zadanifontodlomka"/>
    <w:link w:val="Podnoje"/>
    <w:uiPriority w:val="99"/>
    <w:rsid w:val="005931EB"/>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71723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7232"/>
    <w:rPr>
      <w:rFonts w:ascii="Segoe UI" w:eastAsia="Times New Roman" w:hAnsi="Segoe UI" w:cs="Segoe UI"/>
      <w:sz w:val="18"/>
      <w:szCs w:val="18"/>
      <w:lang w:eastAsia="hr-HR"/>
    </w:rPr>
  </w:style>
  <w:style w:type="table" w:styleId="Reetkatablice">
    <w:name w:val="Table Grid"/>
    <w:basedOn w:val="Obinatablica"/>
    <w:uiPriority w:val="59"/>
    <w:rsid w:val="005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5306">
      <w:bodyDiv w:val="1"/>
      <w:marLeft w:val="0"/>
      <w:marRight w:val="0"/>
      <w:marTop w:val="0"/>
      <w:marBottom w:val="0"/>
      <w:divBdr>
        <w:top w:val="none" w:sz="0" w:space="0" w:color="auto"/>
        <w:left w:val="none" w:sz="0" w:space="0" w:color="auto"/>
        <w:bottom w:val="none" w:sz="0" w:space="0" w:color="auto"/>
        <w:right w:val="none" w:sz="0" w:space="0" w:color="auto"/>
      </w:divBdr>
    </w:div>
    <w:div w:id="97024476">
      <w:bodyDiv w:val="1"/>
      <w:marLeft w:val="0"/>
      <w:marRight w:val="0"/>
      <w:marTop w:val="0"/>
      <w:marBottom w:val="0"/>
      <w:divBdr>
        <w:top w:val="none" w:sz="0" w:space="0" w:color="auto"/>
        <w:left w:val="none" w:sz="0" w:space="0" w:color="auto"/>
        <w:bottom w:val="none" w:sz="0" w:space="0" w:color="auto"/>
        <w:right w:val="none" w:sz="0" w:space="0" w:color="auto"/>
      </w:divBdr>
    </w:div>
    <w:div w:id="121848655">
      <w:bodyDiv w:val="1"/>
      <w:marLeft w:val="0"/>
      <w:marRight w:val="0"/>
      <w:marTop w:val="0"/>
      <w:marBottom w:val="0"/>
      <w:divBdr>
        <w:top w:val="none" w:sz="0" w:space="0" w:color="auto"/>
        <w:left w:val="none" w:sz="0" w:space="0" w:color="auto"/>
        <w:bottom w:val="none" w:sz="0" w:space="0" w:color="auto"/>
        <w:right w:val="none" w:sz="0" w:space="0" w:color="auto"/>
      </w:divBdr>
    </w:div>
    <w:div w:id="200753709">
      <w:bodyDiv w:val="1"/>
      <w:marLeft w:val="0"/>
      <w:marRight w:val="0"/>
      <w:marTop w:val="0"/>
      <w:marBottom w:val="0"/>
      <w:divBdr>
        <w:top w:val="none" w:sz="0" w:space="0" w:color="auto"/>
        <w:left w:val="none" w:sz="0" w:space="0" w:color="auto"/>
        <w:bottom w:val="none" w:sz="0" w:space="0" w:color="auto"/>
        <w:right w:val="none" w:sz="0" w:space="0" w:color="auto"/>
      </w:divBdr>
    </w:div>
    <w:div w:id="224069850">
      <w:bodyDiv w:val="1"/>
      <w:marLeft w:val="0"/>
      <w:marRight w:val="0"/>
      <w:marTop w:val="0"/>
      <w:marBottom w:val="0"/>
      <w:divBdr>
        <w:top w:val="none" w:sz="0" w:space="0" w:color="auto"/>
        <w:left w:val="none" w:sz="0" w:space="0" w:color="auto"/>
        <w:bottom w:val="none" w:sz="0" w:space="0" w:color="auto"/>
        <w:right w:val="none" w:sz="0" w:space="0" w:color="auto"/>
      </w:divBdr>
    </w:div>
    <w:div w:id="257913549">
      <w:bodyDiv w:val="1"/>
      <w:marLeft w:val="0"/>
      <w:marRight w:val="0"/>
      <w:marTop w:val="0"/>
      <w:marBottom w:val="0"/>
      <w:divBdr>
        <w:top w:val="none" w:sz="0" w:space="0" w:color="auto"/>
        <w:left w:val="none" w:sz="0" w:space="0" w:color="auto"/>
        <w:bottom w:val="none" w:sz="0" w:space="0" w:color="auto"/>
        <w:right w:val="none" w:sz="0" w:space="0" w:color="auto"/>
      </w:divBdr>
    </w:div>
    <w:div w:id="270433307">
      <w:bodyDiv w:val="1"/>
      <w:marLeft w:val="0"/>
      <w:marRight w:val="0"/>
      <w:marTop w:val="0"/>
      <w:marBottom w:val="0"/>
      <w:divBdr>
        <w:top w:val="none" w:sz="0" w:space="0" w:color="auto"/>
        <w:left w:val="none" w:sz="0" w:space="0" w:color="auto"/>
        <w:bottom w:val="none" w:sz="0" w:space="0" w:color="auto"/>
        <w:right w:val="none" w:sz="0" w:space="0" w:color="auto"/>
      </w:divBdr>
    </w:div>
    <w:div w:id="407045687">
      <w:bodyDiv w:val="1"/>
      <w:marLeft w:val="0"/>
      <w:marRight w:val="0"/>
      <w:marTop w:val="0"/>
      <w:marBottom w:val="0"/>
      <w:divBdr>
        <w:top w:val="none" w:sz="0" w:space="0" w:color="auto"/>
        <w:left w:val="none" w:sz="0" w:space="0" w:color="auto"/>
        <w:bottom w:val="none" w:sz="0" w:space="0" w:color="auto"/>
        <w:right w:val="none" w:sz="0" w:space="0" w:color="auto"/>
      </w:divBdr>
    </w:div>
    <w:div w:id="445000685">
      <w:bodyDiv w:val="1"/>
      <w:marLeft w:val="0"/>
      <w:marRight w:val="0"/>
      <w:marTop w:val="0"/>
      <w:marBottom w:val="0"/>
      <w:divBdr>
        <w:top w:val="none" w:sz="0" w:space="0" w:color="auto"/>
        <w:left w:val="none" w:sz="0" w:space="0" w:color="auto"/>
        <w:bottom w:val="none" w:sz="0" w:space="0" w:color="auto"/>
        <w:right w:val="none" w:sz="0" w:space="0" w:color="auto"/>
      </w:divBdr>
    </w:div>
    <w:div w:id="566383426">
      <w:bodyDiv w:val="1"/>
      <w:marLeft w:val="0"/>
      <w:marRight w:val="0"/>
      <w:marTop w:val="0"/>
      <w:marBottom w:val="0"/>
      <w:divBdr>
        <w:top w:val="none" w:sz="0" w:space="0" w:color="auto"/>
        <w:left w:val="none" w:sz="0" w:space="0" w:color="auto"/>
        <w:bottom w:val="none" w:sz="0" w:space="0" w:color="auto"/>
        <w:right w:val="none" w:sz="0" w:space="0" w:color="auto"/>
      </w:divBdr>
    </w:div>
    <w:div w:id="578176047">
      <w:bodyDiv w:val="1"/>
      <w:marLeft w:val="0"/>
      <w:marRight w:val="0"/>
      <w:marTop w:val="0"/>
      <w:marBottom w:val="0"/>
      <w:divBdr>
        <w:top w:val="none" w:sz="0" w:space="0" w:color="auto"/>
        <w:left w:val="none" w:sz="0" w:space="0" w:color="auto"/>
        <w:bottom w:val="none" w:sz="0" w:space="0" w:color="auto"/>
        <w:right w:val="none" w:sz="0" w:space="0" w:color="auto"/>
      </w:divBdr>
    </w:div>
    <w:div w:id="646515704">
      <w:bodyDiv w:val="1"/>
      <w:marLeft w:val="0"/>
      <w:marRight w:val="0"/>
      <w:marTop w:val="0"/>
      <w:marBottom w:val="0"/>
      <w:divBdr>
        <w:top w:val="none" w:sz="0" w:space="0" w:color="auto"/>
        <w:left w:val="none" w:sz="0" w:space="0" w:color="auto"/>
        <w:bottom w:val="none" w:sz="0" w:space="0" w:color="auto"/>
        <w:right w:val="none" w:sz="0" w:space="0" w:color="auto"/>
      </w:divBdr>
    </w:div>
    <w:div w:id="927739884">
      <w:bodyDiv w:val="1"/>
      <w:marLeft w:val="0"/>
      <w:marRight w:val="0"/>
      <w:marTop w:val="0"/>
      <w:marBottom w:val="0"/>
      <w:divBdr>
        <w:top w:val="none" w:sz="0" w:space="0" w:color="auto"/>
        <w:left w:val="none" w:sz="0" w:space="0" w:color="auto"/>
        <w:bottom w:val="none" w:sz="0" w:space="0" w:color="auto"/>
        <w:right w:val="none" w:sz="0" w:space="0" w:color="auto"/>
      </w:divBdr>
    </w:div>
    <w:div w:id="978001356">
      <w:bodyDiv w:val="1"/>
      <w:marLeft w:val="0"/>
      <w:marRight w:val="0"/>
      <w:marTop w:val="0"/>
      <w:marBottom w:val="0"/>
      <w:divBdr>
        <w:top w:val="none" w:sz="0" w:space="0" w:color="auto"/>
        <w:left w:val="none" w:sz="0" w:space="0" w:color="auto"/>
        <w:bottom w:val="none" w:sz="0" w:space="0" w:color="auto"/>
        <w:right w:val="none" w:sz="0" w:space="0" w:color="auto"/>
      </w:divBdr>
    </w:div>
    <w:div w:id="1135609921">
      <w:bodyDiv w:val="1"/>
      <w:marLeft w:val="0"/>
      <w:marRight w:val="0"/>
      <w:marTop w:val="0"/>
      <w:marBottom w:val="0"/>
      <w:divBdr>
        <w:top w:val="none" w:sz="0" w:space="0" w:color="auto"/>
        <w:left w:val="none" w:sz="0" w:space="0" w:color="auto"/>
        <w:bottom w:val="none" w:sz="0" w:space="0" w:color="auto"/>
        <w:right w:val="none" w:sz="0" w:space="0" w:color="auto"/>
      </w:divBdr>
    </w:div>
    <w:div w:id="1193492526">
      <w:bodyDiv w:val="1"/>
      <w:marLeft w:val="0"/>
      <w:marRight w:val="0"/>
      <w:marTop w:val="0"/>
      <w:marBottom w:val="0"/>
      <w:divBdr>
        <w:top w:val="none" w:sz="0" w:space="0" w:color="auto"/>
        <w:left w:val="none" w:sz="0" w:space="0" w:color="auto"/>
        <w:bottom w:val="none" w:sz="0" w:space="0" w:color="auto"/>
        <w:right w:val="none" w:sz="0" w:space="0" w:color="auto"/>
      </w:divBdr>
    </w:div>
    <w:div w:id="1243758664">
      <w:bodyDiv w:val="1"/>
      <w:marLeft w:val="0"/>
      <w:marRight w:val="0"/>
      <w:marTop w:val="0"/>
      <w:marBottom w:val="0"/>
      <w:divBdr>
        <w:top w:val="none" w:sz="0" w:space="0" w:color="auto"/>
        <w:left w:val="none" w:sz="0" w:space="0" w:color="auto"/>
        <w:bottom w:val="none" w:sz="0" w:space="0" w:color="auto"/>
        <w:right w:val="none" w:sz="0" w:space="0" w:color="auto"/>
      </w:divBdr>
    </w:div>
    <w:div w:id="1825852159">
      <w:bodyDiv w:val="1"/>
      <w:marLeft w:val="0"/>
      <w:marRight w:val="0"/>
      <w:marTop w:val="0"/>
      <w:marBottom w:val="0"/>
      <w:divBdr>
        <w:top w:val="none" w:sz="0" w:space="0" w:color="auto"/>
        <w:left w:val="none" w:sz="0" w:space="0" w:color="auto"/>
        <w:bottom w:val="none" w:sz="0" w:space="0" w:color="auto"/>
        <w:right w:val="none" w:sz="0" w:space="0" w:color="auto"/>
      </w:divBdr>
    </w:div>
    <w:div w:id="1944654339">
      <w:bodyDiv w:val="1"/>
      <w:marLeft w:val="0"/>
      <w:marRight w:val="0"/>
      <w:marTop w:val="0"/>
      <w:marBottom w:val="0"/>
      <w:divBdr>
        <w:top w:val="none" w:sz="0" w:space="0" w:color="auto"/>
        <w:left w:val="none" w:sz="0" w:space="0" w:color="auto"/>
        <w:bottom w:val="none" w:sz="0" w:space="0" w:color="auto"/>
        <w:right w:val="none" w:sz="0" w:space="0" w:color="auto"/>
      </w:divBdr>
    </w:div>
    <w:div w:id="20590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2FC92-1441-4472-91EC-4925CFD9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2055</Words>
  <Characters>11714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V-racunovodstvo</dc:creator>
  <cp:lastModifiedBy>Verica Košutić</cp:lastModifiedBy>
  <cp:revision>11</cp:revision>
  <cp:lastPrinted>2021-01-29T09:49:00Z</cp:lastPrinted>
  <dcterms:created xsi:type="dcterms:W3CDTF">2023-01-29T16:34:00Z</dcterms:created>
  <dcterms:modified xsi:type="dcterms:W3CDTF">2023-01-30T11:14:00Z</dcterms:modified>
</cp:coreProperties>
</file>